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Style0"/>
        <w:tblW w:w="10785" w:type="dxa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3885"/>
        <w:gridCol w:w="1365"/>
        <w:gridCol w:w="1365"/>
        <w:gridCol w:w="1938"/>
        <w:gridCol w:w="1996"/>
      </w:tblGrid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64" w:type="dxa"/>
            <w:gridSpan w:val="4"/>
            <w:shd w:val="clear" w:color="FFFFFF" w:fill="auto"/>
            <w:tcMar>
              <w:right w:w="0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Cs w:val="16"/>
              </w:rPr>
            </w:pPr>
            <w:r>
              <w:rPr>
                <w:b/>
                <w:szCs w:val="16"/>
              </w:rPr>
              <w:t>Приложение 1.1</w:t>
            </w:r>
            <w:r>
              <w:rPr>
                <w:b/>
                <w:szCs w:val="16"/>
              </w:rPr>
              <w:br/>
            </w:r>
            <w:r>
              <w:rPr>
                <w:b/>
                <w:szCs w:val="16"/>
              </w:rPr>
              <w:br/>
              <w:t>к Положению Банка России</w:t>
            </w:r>
            <w:r>
              <w:rPr>
                <w:b/>
                <w:szCs w:val="16"/>
              </w:rPr>
              <w:br/>
              <w:t>от 3 февраля 2016 года N 532-П</w:t>
            </w:r>
            <w:r>
              <w:rPr>
                <w:b/>
                <w:szCs w:val="16"/>
              </w:rPr>
              <w:br/>
            </w:r>
            <w:r>
              <w:rPr>
                <w:b/>
                <w:szCs w:val="16"/>
              </w:rPr>
              <w:br/>
              <w:t>"Отраслевой стандарт бухгалтерского учета</w:t>
            </w:r>
            <w:r>
              <w:rPr>
                <w:b/>
                <w:szCs w:val="16"/>
              </w:rPr>
              <w:br/>
              <w:t>"Порядок составления бухгалтерской (финансовой)</w:t>
            </w:r>
            <w:r>
              <w:rPr>
                <w:b/>
                <w:szCs w:val="16"/>
              </w:rPr>
              <w:br/>
              <w:t>отчетности профессиональных участников рынка</w:t>
            </w:r>
            <w:r>
              <w:rPr>
                <w:b/>
                <w:szCs w:val="16"/>
              </w:rPr>
              <w:br/>
              <w:t>ценных бумаг, акционерных инвестиционных фондов,</w:t>
            </w:r>
            <w:r>
              <w:rPr>
                <w:b/>
                <w:szCs w:val="16"/>
              </w:rPr>
              <w:br/>
              <w:t>организаторов торговли, центральных контрагентов,</w:t>
            </w:r>
            <w:r>
              <w:rPr>
                <w:b/>
                <w:szCs w:val="16"/>
              </w:rPr>
              <w:br/>
              <w:t>клиринговых организаций, специализированных</w:t>
            </w:r>
            <w:r>
              <w:rPr>
                <w:b/>
                <w:szCs w:val="16"/>
              </w:rPr>
              <w:br/>
              <w:t>депозитариев инвестиционного фонда, паевого инвестиционного</w:t>
            </w:r>
            <w:r>
              <w:rPr>
                <w:b/>
                <w:szCs w:val="16"/>
              </w:rPr>
              <w:br/>
              <w:t>фонда и негосударственного пенсионного фонда,</w:t>
            </w:r>
            <w:r>
              <w:rPr>
                <w:b/>
                <w:szCs w:val="16"/>
              </w:rPr>
              <w:br/>
              <w:t>управляющих компаний инвестиционного фонда,</w:t>
            </w:r>
            <w:r>
              <w:rPr>
                <w:b/>
                <w:szCs w:val="16"/>
              </w:rPr>
              <w:br/>
              <w:t>паевого инвестиционного фонда и негосударственного</w:t>
            </w:r>
            <w:r>
              <w:rPr>
                <w:b/>
                <w:szCs w:val="16"/>
              </w:rPr>
              <w:br/>
              <w:t>пенсионного фонда, бюро кредитных историй,</w:t>
            </w:r>
            <w:r>
              <w:rPr>
                <w:b/>
                <w:szCs w:val="16"/>
              </w:rPr>
              <w:br/>
              <w:t>кредитных рейтинговых агентств, страховых брокеров"</w:t>
            </w:r>
            <w:r>
              <w:rPr>
                <w:b/>
                <w:szCs w:val="16"/>
              </w:rPr>
              <w:br/>
            </w:r>
            <w:r>
              <w:rPr>
                <w:b/>
                <w:szCs w:val="16"/>
              </w:rPr>
              <w:br/>
              <w:t>(с изменениями от 10 июня 2019 г.)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shd w:val="clear" w:color="FFFFFF" w:fill="auto"/>
            <w:tcMar>
              <w:left w:w="0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1938" w:type="dxa"/>
            <w:shd w:val="clear" w:color="FFFFFF" w:fill="auto"/>
            <w:tcMar>
              <w:left w:w="0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1995" w:type="dxa"/>
            <w:shd w:val="clear" w:color="FFFFFF" w:fill="auto"/>
            <w:tcMar>
              <w:left w:w="0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64" w:type="dxa"/>
            <w:gridSpan w:val="4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Отчетность некредитной финансовой организации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z w:val="18"/>
                <w:szCs w:val="18"/>
              </w:rPr>
              <w:br/>
              <w:t>территории</w:t>
            </w:r>
            <w:r>
              <w:rPr>
                <w:b/>
                <w:sz w:val="18"/>
                <w:szCs w:val="18"/>
              </w:rPr>
              <w:br/>
              <w:t>по ОКАТО</w:t>
            </w:r>
          </w:p>
        </w:tc>
        <w:tc>
          <w:tcPr>
            <w:tcW w:w="5299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некредитной финансовой организации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 ОКПО</w:t>
            </w:r>
          </w:p>
        </w:tc>
        <w:tc>
          <w:tcPr>
            <w:tcW w:w="19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основной</w:t>
            </w:r>
            <w:r>
              <w:rPr>
                <w:b/>
                <w:sz w:val="18"/>
                <w:szCs w:val="18"/>
              </w:rPr>
              <w:br/>
              <w:t>государственный регистрационный номер</w:t>
            </w:r>
          </w:p>
        </w:tc>
        <w:tc>
          <w:tcPr>
            <w:tcW w:w="199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регистрационный номер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45286565000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40444267</w:t>
            </w:r>
          </w:p>
        </w:tc>
        <w:tc>
          <w:tcPr>
            <w:tcW w:w="19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1027739261494</w:t>
            </w:r>
          </w:p>
        </w:tc>
        <w:tc>
          <w:tcPr>
            <w:tcW w:w="199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TableStyle1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1890"/>
        <w:gridCol w:w="2100"/>
        <w:gridCol w:w="2100"/>
        <w:gridCol w:w="2100"/>
        <w:gridCol w:w="2205"/>
      </w:tblGrid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0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395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БУХГАЛТЕРСКИЙ БАЛАНС</w:t>
            </w:r>
            <w:r>
              <w:rPr>
                <w:b/>
                <w:sz w:val="18"/>
                <w:szCs w:val="18"/>
              </w:rPr>
              <w:br/>
              <w:t>НЕКРЕДИТНОЙ ФИНАНСОВОЙ ОРГАНИЗАЦИИ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395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31 марта 2021 г.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0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tcBorders>
              <w:bottom w:val="none" w:sz="5" w:space="0" w:color="auto"/>
            </w:tcBorders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395" w:type="dxa"/>
            <w:gridSpan w:val="5"/>
            <w:tcBorders>
              <w:bottom w:val="non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Общество с ограниченной ответственностью "КОМПАНИЯ ТАКТ"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395" w:type="dxa"/>
            <w:gridSpan w:val="5"/>
            <w:tcBorders>
              <w:bottom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ООО "КОМПАНИЯ ТАКТ"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395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(полное фирменное и сокращенное фирменное наименования)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0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left w:w="0" w:type="dxa"/>
            </w:tcMar>
            <w:vAlign w:val="center"/>
          </w:tcPr>
          <w:p w:rsidR="007F09C3" w:rsidRDefault="007F09C3">
            <w:pPr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single" w:sz="5" w:space="0" w:color="auto"/>
            </w:tcBorders>
            <w:shd w:val="clear" w:color="FFFFFF" w:fill="auto"/>
            <w:tcMar>
              <w:left w:w="0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Почтовый адрес</w:t>
            </w:r>
          </w:p>
        </w:tc>
        <w:tc>
          <w:tcPr>
            <w:tcW w:w="8505" w:type="dxa"/>
            <w:gridSpan w:val="4"/>
            <w:tcBorders>
              <w:bottom w:val="single" w:sz="5" w:space="0" w:color="auto"/>
            </w:tcBorders>
            <w:shd w:val="clear" w:color="FFFFFF" w:fill="auto"/>
            <w:tcMar>
              <w:left w:w="0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107078, г. Москва, </w:t>
            </w:r>
            <w:proofErr w:type="spellStart"/>
            <w:r>
              <w:rPr>
                <w:b/>
                <w:sz w:val="18"/>
                <w:szCs w:val="18"/>
              </w:rPr>
              <w:t>вн.тер</w:t>
            </w:r>
            <w:proofErr w:type="spellEnd"/>
            <w:r>
              <w:rPr>
                <w:b/>
                <w:sz w:val="18"/>
                <w:szCs w:val="18"/>
              </w:rPr>
              <w:t>. г. муниципальный округ Красносельский, пер Орликов, дом 5, стр. 3, этаж 5, помещ I, ком. 34, каб. 509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0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left w:w="0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left w:w="0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4305" w:type="dxa"/>
            <w:gridSpan w:val="2"/>
            <w:shd w:val="clear" w:color="FFFFFF" w:fill="auto"/>
            <w:tcMar>
              <w:right w:w="0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формы по ОКУД: 0420002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4305" w:type="dxa"/>
            <w:gridSpan w:val="2"/>
            <w:shd w:val="clear" w:color="FFFFFF" w:fill="auto"/>
            <w:tcMar>
              <w:right w:w="0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Годовая (квартальная)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205" w:type="dxa"/>
            <w:shd w:val="clear" w:color="FFFFFF" w:fill="auto"/>
            <w:tcMar>
              <w:right w:w="0" w:type="dxa"/>
            </w:tcMar>
            <w:vAlign w:val="center"/>
          </w:tcPr>
          <w:p w:rsidR="007F09C3" w:rsidRDefault="0017021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(тыс. руб.)</w:t>
            </w:r>
          </w:p>
        </w:tc>
      </w:tr>
    </w:tbl>
    <w:tbl>
      <w:tblPr>
        <w:tblStyle w:val="TableStyle2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898"/>
        <w:gridCol w:w="5040"/>
        <w:gridCol w:w="1365"/>
        <w:gridCol w:w="1575"/>
        <w:gridCol w:w="1684"/>
      </w:tblGrid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Номер строки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Примечания</w:t>
            </w:r>
            <w:r>
              <w:rPr>
                <w:b/>
                <w:sz w:val="18"/>
                <w:szCs w:val="18"/>
              </w:rPr>
              <w:br/>
              <w:t>к строкам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31.03.2021 г.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 31.12.2020 </w:t>
            </w:r>
            <w:proofErr w:type="gramStart"/>
            <w:r>
              <w:rPr>
                <w:b/>
                <w:sz w:val="18"/>
                <w:szCs w:val="18"/>
              </w:rPr>
              <w:t>г .</w:t>
            </w:r>
            <w:proofErr w:type="gramEnd"/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62" w:type="dxa"/>
            <w:gridSpan w:val="5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I. Активы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Денежные средства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Финансовые активы, оцениваемые по справедливой стоимости через прибыль или убыток, в том числе: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89 859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210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финансовые активы, в обязательном порядке классифицируемые как оцениваемые по справедливой стоимости через прибыль или убыток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89 859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Финансовые активы, оцениваемые по амортизированной стоимости, в том числе: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 w:rsidRPr="00AC2F63">
              <w:rPr>
                <w:b/>
                <w:sz w:val="18"/>
                <w:szCs w:val="18"/>
              </w:rPr>
              <w:t>36 198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82 491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210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средства в кредитных организациях и банках-нерезидентах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35 393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210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займы выданные и прочие размещенные средства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35 864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46 944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210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дебиторская задолженность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Нематериальные активы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1 824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1 722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Основные средства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1 386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785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Требования по текущему налогу на прибыль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Отложенные налоговые активы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2 910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2 418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Прочие активы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 активов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132 769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87 660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62" w:type="dxa"/>
            <w:gridSpan w:val="5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II. Обязательства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Финансовые обязательства, оцениваемые по амортизированной стоимости, в том числе: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>898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>933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04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210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кредиты, займы и прочие привлеченные средства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5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658</w:t>
            </w:r>
          </w:p>
        </w:tc>
        <w:tc>
          <w:tcPr>
            <w:tcW w:w="16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866</w:t>
            </w:r>
          </w:p>
        </w:tc>
      </w:tr>
    </w:tbl>
    <w:p w:rsidR="007F09C3" w:rsidRDefault="0017021F">
      <w:r>
        <w:br w:type="page"/>
      </w:r>
    </w:p>
    <w:p w:rsidR="007F09C3" w:rsidRDefault="00226AC6">
      <w:pPr>
        <w:sectPr w:rsidR="007F09C3">
          <w:pgSz w:w="11907" w:h="16839"/>
          <w:pgMar w:top="567" w:right="567" w:bottom="567" w:left="567" w:header="720" w:footer="720" w:gutter="0"/>
          <w:cols w:space="720"/>
        </w:sectPr>
      </w:pPr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47CBF488" wp14:editId="7670DC18">
            <wp:extent cx="7319534" cy="583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490" cy="58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Style4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3885"/>
        <w:gridCol w:w="1365"/>
        <w:gridCol w:w="1365"/>
        <w:gridCol w:w="1938"/>
        <w:gridCol w:w="1891"/>
      </w:tblGrid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59" w:type="dxa"/>
            <w:gridSpan w:val="4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Cs w:val="16"/>
              </w:rPr>
            </w:pPr>
            <w:r>
              <w:rPr>
                <w:b/>
                <w:szCs w:val="16"/>
              </w:rPr>
              <w:t>Приложение 2.1</w:t>
            </w:r>
            <w:r>
              <w:rPr>
                <w:b/>
                <w:szCs w:val="16"/>
              </w:rPr>
              <w:br/>
            </w:r>
            <w:r>
              <w:rPr>
                <w:b/>
                <w:szCs w:val="16"/>
              </w:rPr>
              <w:br/>
              <w:t>к Положению Банка России</w:t>
            </w:r>
            <w:r>
              <w:rPr>
                <w:b/>
                <w:szCs w:val="16"/>
              </w:rPr>
              <w:br/>
              <w:t>от 3 февраля 2016 г. N 532-П</w:t>
            </w:r>
            <w:r>
              <w:rPr>
                <w:b/>
                <w:szCs w:val="16"/>
              </w:rPr>
              <w:br/>
              <w:t>"Отраслевой стандарт</w:t>
            </w:r>
            <w:r>
              <w:rPr>
                <w:b/>
                <w:szCs w:val="16"/>
              </w:rPr>
              <w:br/>
              <w:t>бухгалтерского учета "Порядок составления</w:t>
            </w:r>
            <w:r>
              <w:rPr>
                <w:b/>
                <w:szCs w:val="16"/>
              </w:rPr>
              <w:br/>
              <w:t>бухгалтерской (финансовой) отчетности</w:t>
            </w:r>
            <w:r>
              <w:rPr>
                <w:b/>
                <w:szCs w:val="16"/>
              </w:rPr>
              <w:br/>
              <w:t>профессиональных участников рынка ценных</w:t>
            </w:r>
            <w:r>
              <w:rPr>
                <w:b/>
                <w:szCs w:val="16"/>
              </w:rPr>
              <w:br/>
              <w:t>бумаг, акционерных инвестиционных фондов,</w:t>
            </w:r>
            <w:r>
              <w:rPr>
                <w:b/>
                <w:szCs w:val="16"/>
              </w:rPr>
              <w:br/>
              <w:t>организаторов торговли, центральных</w:t>
            </w:r>
            <w:r>
              <w:rPr>
                <w:b/>
                <w:szCs w:val="16"/>
              </w:rPr>
              <w:br/>
              <w:t>контрагентов, клиринговых организаций,</w:t>
            </w:r>
            <w:r>
              <w:rPr>
                <w:b/>
                <w:szCs w:val="16"/>
              </w:rPr>
              <w:br/>
              <w:t>специализированных депозитариев</w:t>
            </w:r>
            <w:r>
              <w:rPr>
                <w:b/>
                <w:szCs w:val="16"/>
              </w:rPr>
              <w:br/>
              <w:t>инвестиционного фонда, паевого</w:t>
            </w:r>
            <w:r>
              <w:rPr>
                <w:b/>
                <w:szCs w:val="16"/>
              </w:rPr>
              <w:br/>
              <w:t>инвестиционного фонда и негосударственного</w:t>
            </w:r>
            <w:r>
              <w:rPr>
                <w:b/>
                <w:szCs w:val="16"/>
              </w:rPr>
              <w:br/>
              <w:t>пенсионного фонда, управляющих компаний</w:t>
            </w:r>
            <w:r>
              <w:rPr>
                <w:b/>
                <w:szCs w:val="16"/>
              </w:rPr>
              <w:br/>
              <w:t>инвестиционного фонда, паевого</w:t>
            </w:r>
            <w:r>
              <w:rPr>
                <w:b/>
                <w:szCs w:val="16"/>
              </w:rPr>
              <w:br/>
              <w:t>инвестиционного фонда и негосударственного</w:t>
            </w:r>
            <w:r>
              <w:rPr>
                <w:b/>
                <w:szCs w:val="16"/>
              </w:rPr>
              <w:br/>
              <w:t>пенсионного фонда, бюро кредитных историй,</w:t>
            </w:r>
            <w:r>
              <w:rPr>
                <w:b/>
                <w:szCs w:val="16"/>
              </w:rPr>
              <w:br/>
              <w:t>кредитных рейтинговых агентств, страховых</w:t>
            </w:r>
            <w:r>
              <w:rPr>
                <w:b/>
                <w:szCs w:val="16"/>
              </w:rPr>
              <w:br/>
              <w:t>брокеров"</w:t>
            </w:r>
            <w:r>
              <w:rPr>
                <w:b/>
                <w:szCs w:val="16"/>
              </w:rPr>
              <w:br/>
              <w:t>(с изменениями от 7 сентября 2017 г., 10 июня 2019 г.)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1938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59" w:type="dxa"/>
            <w:gridSpan w:val="4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Отчетность некредитной финансовой организации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z w:val="18"/>
                <w:szCs w:val="18"/>
              </w:rPr>
              <w:br/>
              <w:t>территории</w:t>
            </w:r>
            <w:r>
              <w:rPr>
                <w:b/>
                <w:sz w:val="18"/>
                <w:szCs w:val="18"/>
              </w:rPr>
              <w:br/>
              <w:t>по ОКАТО</w:t>
            </w:r>
          </w:p>
        </w:tc>
        <w:tc>
          <w:tcPr>
            <w:tcW w:w="5194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некредитной финансовой организации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 ОКПО</w:t>
            </w:r>
          </w:p>
        </w:tc>
        <w:tc>
          <w:tcPr>
            <w:tcW w:w="19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основной</w:t>
            </w:r>
            <w:r>
              <w:rPr>
                <w:b/>
                <w:sz w:val="18"/>
                <w:szCs w:val="18"/>
              </w:rPr>
              <w:br/>
              <w:t>государственный регистрационный номер</w:t>
            </w:r>
          </w:p>
        </w:tc>
        <w:tc>
          <w:tcPr>
            <w:tcW w:w="189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регистрационный номер</w:t>
            </w:r>
          </w:p>
        </w:tc>
      </w:tr>
      <w:tr w:rsidR="007F09C3" w:rsidTr="007D396C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45286565000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40444267</w:t>
            </w:r>
          </w:p>
        </w:tc>
        <w:tc>
          <w:tcPr>
            <w:tcW w:w="19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1027739261494</w:t>
            </w:r>
          </w:p>
        </w:tc>
        <w:tc>
          <w:tcPr>
            <w:tcW w:w="189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TableStyle5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1890"/>
        <w:gridCol w:w="2100"/>
        <w:gridCol w:w="2100"/>
        <w:gridCol w:w="2100"/>
        <w:gridCol w:w="2100"/>
      </w:tblGrid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ОТЧЕТ О ФИНАНСОВЫХ РЕЗУЛЬТАТАХ</w:t>
            </w:r>
            <w:r>
              <w:rPr>
                <w:b/>
                <w:sz w:val="18"/>
                <w:szCs w:val="18"/>
              </w:rPr>
              <w:br/>
              <w:t>НЕКРЕДИТНОЙ ФИНАНСОВОЙ ОРГАНИЗАЦИИ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1 квартал 2021 г.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Общество с ограниченной ответственностью "КОМПАНИЯ ТАКТ"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tcBorders>
              <w:bottom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ООО "КОМПАНИЯ ТАКТ"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(полное фирменное и сокращенное фирменное наименования)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single" w:sz="5" w:space="0" w:color="auto"/>
            </w:tcBorders>
            <w:shd w:val="clear" w:color="FFFFFF" w:fill="auto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Почтовый адрес</w:t>
            </w:r>
          </w:p>
        </w:tc>
        <w:tc>
          <w:tcPr>
            <w:tcW w:w="8400" w:type="dxa"/>
            <w:gridSpan w:val="4"/>
            <w:tcBorders>
              <w:bottom w:val="single" w:sz="5" w:space="0" w:color="auto"/>
            </w:tcBorders>
            <w:shd w:val="clear" w:color="FFFFFF" w:fill="auto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107078, г. Москва, </w:t>
            </w:r>
            <w:proofErr w:type="spellStart"/>
            <w:r>
              <w:rPr>
                <w:b/>
                <w:sz w:val="18"/>
                <w:szCs w:val="18"/>
              </w:rPr>
              <w:t>вн.тер</w:t>
            </w:r>
            <w:proofErr w:type="spellEnd"/>
            <w:r>
              <w:rPr>
                <w:b/>
                <w:sz w:val="18"/>
                <w:szCs w:val="18"/>
              </w:rPr>
              <w:t>. г. муниципальный округ Красносельский, пер Орликов, дом 5, стр. 3, этаж 5, помещ I, ком. 34, каб. 509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4200" w:type="dxa"/>
            <w:gridSpan w:val="2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формы по ОКУД: 0420003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4200" w:type="dxa"/>
            <w:gridSpan w:val="2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Годовая (квартальная)</w:t>
            </w:r>
          </w:p>
        </w:tc>
      </w:tr>
      <w:tr w:rsidR="007F09C3">
        <w:trPr>
          <w:trHeight w:val="60"/>
        </w:trPr>
        <w:tc>
          <w:tcPr>
            <w:tcW w:w="21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(тыс. руб.)</w:t>
            </w:r>
          </w:p>
        </w:tc>
      </w:tr>
    </w:tbl>
    <w:tbl>
      <w:tblPr>
        <w:tblStyle w:val="TableStyle6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898"/>
        <w:gridCol w:w="5460"/>
        <w:gridCol w:w="1365"/>
        <w:gridCol w:w="1365"/>
        <w:gridCol w:w="1369"/>
      </w:tblGrid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Номер строки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Примечания</w:t>
            </w:r>
            <w:r>
              <w:rPr>
                <w:b/>
                <w:sz w:val="18"/>
                <w:szCs w:val="18"/>
              </w:rPr>
              <w:br/>
              <w:t>к строкам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1 квартал 2021 г.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1 квартал 2020 г.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57" w:type="dxa"/>
            <w:gridSpan w:val="5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I. Прибыли и убытки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Торговые и инвестиционные доходы, в том числе: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(703)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1 537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доходы за вычетом расходов (расходы за вычетом доходов) от операций с финансовыми инструментами, в обязательном порядке классифицируемыми как оцениваемые по справедливой стоимости через прибыль или убыток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 w:rsidP="00AC2F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(29</w:t>
            </w:r>
            <w:r w:rsidR="00AC2F6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(140)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процентные доходы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715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1 413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доходы за вычетом расходов (расходы за вычетом доходов), возникающие в результате прекращения признания финансовых активов, оцениваемых по амортизированной стоимости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(164)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доходы за вычетом расходов (расходы за вычетом доходов) по восстановлению (созданию) оценочных резервов под ожидаемые кредитные убытки по финансовым активам, оцениваемым по амортизированной стоимости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(181)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Доходы за вычетом расходов (расходы за вычетом доходов) от операций с иностранной валютой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(778)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Выручка от оказания услуг и комиссионные доходы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492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477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персонал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(1 103)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(1 144)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Прямые операционные расходы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(142)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(122)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Процентные расходы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(20)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(53)</w:t>
            </w:r>
          </w:p>
        </w:tc>
      </w:tr>
      <w:tr w:rsidR="007F09C3" w:rsidTr="00AF358D">
        <w:trPr>
          <w:trHeight w:val="60"/>
        </w:trPr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Общие и административные расходы</w:t>
            </w:r>
          </w:p>
        </w:tc>
        <w:tc>
          <w:tcPr>
            <w:tcW w:w="1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(769)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(1 066)</w:t>
            </w:r>
          </w:p>
        </w:tc>
      </w:tr>
    </w:tbl>
    <w:p w:rsidR="007F09C3" w:rsidRDefault="0017021F">
      <w:r>
        <w:br w:type="page"/>
      </w:r>
    </w:p>
    <w:p w:rsidR="007F09C3" w:rsidRDefault="00B852E8">
      <w:pPr>
        <w:sectPr w:rsidR="007F09C3">
          <w:pgSz w:w="11907" w:h="16839"/>
          <w:pgMar w:top="567" w:right="567" w:bottom="567" w:left="567" w:header="720" w:footer="720" w:gutter="0"/>
          <w:cols w:space="720"/>
        </w:sectPr>
      </w:pPr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38D5255D" wp14:editId="64074543">
            <wp:extent cx="7341279" cy="4181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380" cy="418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8D" w:rsidRDefault="00B83F32"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21DE2C18" wp14:editId="634E4ABD">
            <wp:extent cx="7160895" cy="9570273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15" cy="96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C3" w:rsidRDefault="007F09C3">
      <w:pPr>
        <w:sectPr w:rsidR="007F09C3" w:rsidSect="00AF358D">
          <w:pgSz w:w="11907" w:h="16839"/>
          <w:pgMar w:top="567" w:right="567" w:bottom="567" w:left="567" w:header="720" w:footer="720" w:gutter="0"/>
          <w:cols w:space="720"/>
          <w:docGrid w:linePitch="299"/>
        </w:sectPr>
      </w:pPr>
    </w:p>
    <w:tbl>
      <w:tblPr>
        <w:tblStyle w:val="TableStyle12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3885"/>
        <w:gridCol w:w="1365"/>
        <w:gridCol w:w="1365"/>
        <w:gridCol w:w="1938"/>
        <w:gridCol w:w="1891"/>
      </w:tblGrid>
      <w:tr w:rsidR="007F09C3" w:rsidTr="007D396C"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59" w:type="dxa"/>
            <w:gridSpan w:val="4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Cs w:val="16"/>
              </w:rPr>
            </w:pPr>
            <w:r>
              <w:rPr>
                <w:b/>
                <w:szCs w:val="16"/>
              </w:rPr>
              <w:t>Приложение 4.1</w:t>
            </w:r>
            <w:r>
              <w:rPr>
                <w:b/>
                <w:szCs w:val="16"/>
              </w:rPr>
              <w:br/>
              <w:t>к Положению Банка России</w:t>
            </w:r>
            <w:r>
              <w:rPr>
                <w:b/>
                <w:szCs w:val="16"/>
              </w:rPr>
              <w:br/>
              <w:t>от 3 февраля 2016 г. N 532-П</w:t>
            </w:r>
            <w:r>
              <w:rPr>
                <w:b/>
                <w:szCs w:val="16"/>
              </w:rPr>
              <w:br/>
              <w:t>"Отраслевой стандарт</w:t>
            </w:r>
            <w:r>
              <w:rPr>
                <w:b/>
                <w:szCs w:val="16"/>
              </w:rPr>
              <w:br/>
              <w:t>бухгалтерского учета "Порядок составления</w:t>
            </w:r>
            <w:r>
              <w:rPr>
                <w:b/>
                <w:szCs w:val="16"/>
              </w:rPr>
              <w:br/>
              <w:t>бухгалтерской (финансовой) отчетности</w:t>
            </w:r>
            <w:r>
              <w:rPr>
                <w:b/>
                <w:szCs w:val="16"/>
              </w:rPr>
              <w:br/>
              <w:t>профессиональных участников рынка ценных</w:t>
            </w:r>
            <w:r>
              <w:rPr>
                <w:b/>
                <w:szCs w:val="16"/>
              </w:rPr>
              <w:br/>
              <w:t>бумаг, акционерных инвестиционных фондов,</w:t>
            </w:r>
            <w:r>
              <w:rPr>
                <w:b/>
                <w:szCs w:val="16"/>
              </w:rPr>
              <w:br/>
              <w:t>организаторов торговли, центральных</w:t>
            </w:r>
            <w:r>
              <w:rPr>
                <w:b/>
                <w:szCs w:val="16"/>
              </w:rPr>
              <w:br/>
              <w:t>контрагентов, клиринговых организаций,</w:t>
            </w:r>
            <w:r>
              <w:rPr>
                <w:b/>
                <w:szCs w:val="16"/>
              </w:rPr>
              <w:br/>
              <w:t>специализированных депозитариев</w:t>
            </w:r>
            <w:r>
              <w:rPr>
                <w:b/>
                <w:szCs w:val="16"/>
              </w:rPr>
              <w:br/>
              <w:t>инвестиционного фонда, паевого</w:t>
            </w:r>
            <w:r>
              <w:rPr>
                <w:b/>
                <w:szCs w:val="16"/>
              </w:rPr>
              <w:br/>
              <w:t>инвестиционного фонда и негосударственного</w:t>
            </w:r>
            <w:r>
              <w:rPr>
                <w:b/>
                <w:szCs w:val="16"/>
              </w:rPr>
              <w:br/>
              <w:t>пенсионного фонда, управляющих компаний</w:t>
            </w:r>
            <w:r>
              <w:rPr>
                <w:b/>
                <w:szCs w:val="16"/>
              </w:rPr>
              <w:br/>
              <w:t>инвестиционного фонда, паевого</w:t>
            </w:r>
            <w:r>
              <w:rPr>
                <w:b/>
                <w:szCs w:val="16"/>
              </w:rPr>
              <w:br/>
              <w:t>инвестиционного фонда и негосударственного</w:t>
            </w:r>
            <w:r>
              <w:rPr>
                <w:b/>
                <w:szCs w:val="16"/>
              </w:rPr>
              <w:br/>
              <w:t>пенсионного фонда, бюро кредитных историй,</w:t>
            </w:r>
            <w:r>
              <w:rPr>
                <w:b/>
                <w:szCs w:val="16"/>
              </w:rPr>
              <w:br/>
              <w:t>кредитных рейтинговых агентств, страховых</w:t>
            </w:r>
            <w:r>
              <w:rPr>
                <w:b/>
                <w:szCs w:val="16"/>
              </w:rPr>
              <w:br/>
              <w:t>брокеров"</w:t>
            </w:r>
            <w:r>
              <w:rPr>
                <w:b/>
                <w:szCs w:val="16"/>
              </w:rPr>
              <w:br/>
              <w:t>(с изменениями от 7 сентября 2017 г., 10 июня 2019 г.)</w:t>
            </w:r>
          </w:p>
        </w:tc>
      </w:tr>
      <w:tr w:rsidR="007F09C3" w:rsidTr="007D396C"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1938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</w:tr>
      <w:tr w:rsidR="007F09C3" w:rsidTr="007D396C"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59" w:type="dxa"/>
            <w:gridSpan w:val="4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Отчетность некредитной финансовой организации</w:t>
            </w:r>
          </w:p>
        </w:tc>
      </w:tr>
      <w:tr w:rsidR="007F09C3" w:rsidTr="007D396C"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z w:val="18"/>
                <w:szCs w:val="18"/>
              </w:rPr>
              <w:br/>
              <w:t>территории</w:t>
            </w:r>
            <w:r>
              <w:rPr>
                <w:b/>
                <w:sz w:val="18"/>
                <w:szCs w:val="18"/>
              </w:rPr>
              <w:br/>
              <w:t>по ОКАТО</w:t>
            </w:r>
          </w:p>
        </w:tc>
        <w:tc>
          <w:tcPr>
            <w:tcW w:w="5194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некредитной финансовой организации</w:t>
            </w:r>
          </w:p>
        </w:tc>
      </w:tr>
      <w:tr w:rsidR="007F09C3" w:rsidTr="007D396C"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vMerge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 ОКПО</w:t>
            </w:r>
          </w:p>
        </w:tc>
        <w:tc>
          <w:tcPr>
            <w:tcW w:w="19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основной</w:t>
            </w:r>
            <w:r>
              <w:rPr>
                <w:b/>
                <w:sz w:val="18"/>
                <w:szCs w:val="18"/>
              </w:rPr>
              <w:br/>
              <w:t>государственный регистрационный номер</w:t>
            </w:r>
          </w:p>
        </w:tc>
        <w:tc>
          <w:tcPr>
            <w:tcW w:w="189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регистрационный номер</w:t>
            </w:r>
          </w:p>
        </w:tc>
      </w:tr>
      <w:tr w:rsidR="007F09C3" w:rsidTr="007D396C">
        <w:tc>
          <w:tcPr>
            <w:tcW w:w="236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85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45286565000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40444267</w:t>
            </w:r>
          </w:p>
        </w:tc>
        <w:tc>
          <w:tcPr>
            <w:tcW w:w="193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1027739261494</w:t>
            </w:r>
          </w:p>
        </w:tc>
        <w:tc>
          <w:tcPr>
            <w:tcW w:w="189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TableStyle13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1890"/>
        <w:gridCol w:w="2100"/>
        <w:gridCol w:w="2100"/>
        <w:gridCol w:w="2100"/>
        <w:gridCol w:w="2100"/>
      </w:tblGrid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ОТЧЕТ О ПОТОКАХ ДЕНЕЖНЫХ СРЕДСТВ</w:t>
            </w:r>
            <w:r>
              <w:rPr>
                <w:b/>
                <w:sz w:val="18"/>
                <w:szCs w:val="18"/>
              </w:rPr>
              <w:br/>
              <w:t>НЕКРЕДИТНОЙ ФИНАНСОВОЙ ОРГАНИЗАЦИИ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1 квартал 2021 г.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Общество с ограниченной ответственностью "КОМПАНИЯ ТАКТ"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wordWrap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tcBorders>
              <w:bottom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wordWrap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ООО "КОМПАНИЯ ТАКТ"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(полное фирменное и сокращенное фирменное наименования)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c>
          <w:tcPr>
            <w:tcW w:w="21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single" w:sz="5" w:space="0" w:color="auto"/>
            </w:tcBorders>
            <w:shd w:val="clear" w:color="FFFFFF" w:fill="auto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Почтовый адрес</w:t>
            </w:r>
          </w:p>
        </w:tc>
        <w:tc>
          <w:tcPr>
            <w:tcW w:w="8400" w:type="dxa"/>
            <w:gridSpan w:val="4"/>
            <w:tcBorders>
              <w:bottom w:val="single" w:sz="5" w:space="0" w:color="auto"/>
            </w:tcBorders>
            <w:shd w:val="clear" w:color="FFFFFF" w:fill="auto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107078, г. Москва, </w:t>
            </w:r>
            <w:proofErr w:type="spellStart"/>
            <w:r>
              <w:rPr>
                <w:b/>
                <w:sz w:val="18"/>
                <w:szCs w:val="18"/>
              </w:rPr>
              <w:t>вн.тер</w:t>
            </w:r>
            <w:proofErr w:type="spellEnd"/>
            <w:r>
              <w:rPr>
                <w:b/>
                <w:sz w:val="18"/>
                <w:szCs w:val="18"/>
              </w:rPr>
              <w:t>. г. муниципальный округ Красносельский, пер Орликов, дом 5, стр. 3, этаж 5, помещ I, ком. 34, каб. 509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F09C3">
        <w:tc>
          <w:tcPr>
            <w:tcW w:w="21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left w:w="105" w:type="dxa"/>
            </w:tcMar>
            <w:vAlign w:val="center"/>
          </w:tcPr>
          <w:p w:rsidR="007F09C3" w:rsidRDefault="007F09C3">
            <w:pPr>
              <w:rPr>
                <w:sz w:val="18"/>
                <w:szCs w:val="18"/>
              </w:rPr>
            </w:pPr>
          </w:p>
        </w:tc>
        <w:tc>
          <w:tcPr>
            <w:tcW w:w="4200" w:type="dxa"/>
            <w:gridSpan w:val="2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 формы по ОКУД: 0420005</w:t>
            </w:r>
          </w:p>
        </w:tc>
      </w:tr>
      <w:tr w:rsidR="007F09C3">
        <w:tc>
          <w:tcPr>
            <w:tcW w:w="21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4200" w:type="dxa"/>
            <w:gridSpan w:val="2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Годовая (квартальная)</w:t>
            </w:r>
          </w:p>
        </w:tc>
      </w:tr>
      <w:tr w:rsidR="007F09C3">
        <w:tc>
          <w:tcPr>
            <w:tcW w:w="21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9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100" w:type="dxa"/>
            <w:shd w:val="clear" w:color="FFFFFF" w:fill="auto"/>
            <w:tcMar>
              <w:right w:w="105" w:type="dxa"/>
            </w:tcMar>
            <w:vAlign w:val="center"/>
          </w:tcPr>
          <w:p w:rsidR="007F09C3" w:rsidRDefault="0017021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(тыс. руб.)</w:t>
            </w:r>
          </w:p>
        </w:tc>
      </w:tr>
    </w:tbl>
    <w:tbl>
      <w:tblPr>
        <w:tblStyle w:val="TableStyle14"/>
        <w:tblW w:w="0" w:type="auto"/>
        <w:tblInd w:w="108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36"/>
        <w:gridCol w:w="735"/>
        <w:gridCol w:w="5460"/>
        <w:gridCol w:w="1365"/>
        <w:gridCol w:w="1365"/>
        <w:gridCol w:w="1365"/>
      </w:tblGrid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Номер строки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Примечания</w:t>
            </w:r>
            <w:r>
              <w:rPr>
                <w:b/>
                <w:sz w:val="18"/>
                <w:szCs w:val="18"/>
              </w:rPr>
              <w:br/>
              <w:t>к строкам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1 квартал 2021 г.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1 квартал 2020 г.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I. Денежные потоки от операционной деятельности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Поступления от продажи и погашения финансовых активов или от размещения финансовых обязательств, в обязательном порядке классифицируемых как оцениваемые по справедливой стоимости через прибыль или убыток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81 776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56 729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Платежи в связи с приобретением финансовых активов или погашением финансовых обязательств, в обязательном порядке классифицируемых как оцениваемые по справедливой стоимости через прибыль или убыток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(172 014)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Денежные поступления от предоставления услуг и полученные комиссии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484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Денежные выплаты поставщикам за товары и услуги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(136)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(118)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Проценты уплаченные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(20)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Выплата заработной платы и прочего вознаграждения сотрудникам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(1 053)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(995)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Оплата прочих административных и операционных расходов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(689)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(674)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Прочие денежные потоки от операционной деятельности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(659)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Сальдо денежных потоков от операционной деятельности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(92 400)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 w:rsidP="00AC2F6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55 42</w:t>
            </w:r>
            <w:r w:rsidR="00AC2F63">
              <w:rPr>
                <w:b/>
                <w:sz w:val="18"/>
                <w:szCs w:val="18"/>
              </w:rPr>
              <w:t>7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90" w:type="dxa"/>
            <w:gridSpan w:val="5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II. Денежные потоки от инвестиционной деятельности</w:t>
            </w:r>
          </w:p>
        </w:tc>
      </w:tr>
      <w:tr w:rsidR="007F09C3">
        <w:tc>
          <w:tcPr>
            <w:tcW w:w="210" w:type="dxa"/>
            <w:shd w:val="clear" w:color="FFFFFF" w:fill="auto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46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one" w:sz="5" w:space="0" w:color="auto"/>
            </w:tcBorders>
            <w:shd w:val="clear" w:color="FFFFFF" w:fill="FFFFFF"/>
            <w:tcMar>
              <w:left w:w="105" w:type="dxa"/>
            </w:tcMar>
            <w:vAlign w:val="center"/>
          </w:tcPr>
          <w:p w:rsidR="007F09C3" w:rsidRDefault="001702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Платежи в связи с приобретением, созданием, модернизацией, реконструкцией и подготовкой к использованию основных средств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tcMar>
              <w:right w:w="105" w:type="dxa"/>
            </w:tcMar>
            <w:vAlign w:val="center"/>
          </w:tcPr>
          <w:p w:rsidR="007F09C3" w:rsidRDefault="007F09C3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1702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(797)</w:t>
            </w:r>
          </w:p>
        </w:tc>
        <w:tc>
          <w:tcPr>
            <w:tcW w:w="136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FFFFFF"/>
            <w:vAlign w:val="center"/>
          </w:tcPr>
          <w:p w:rsidR="007F09C3" w:rsidRDefault="007F09C3">
            <w:pPr>
              <w:jc w:val="center"/>
              <w:rPr>
                <w:sz w:val="18"/>
                <w:szCs w:val="18"/>
              </w:rPr>
            </w:pPr>
          </w:p>
        </w:tc>
      </w:tr>
    </w:tbl>
    <w:p w:rsidR="007F09C3" w:rsidRDefault="0017021F">
      <w:r>
        <w:br w:type="page"/>
      </w:r>
      <w:bookmarkStart w:id="0" w:name="_GoBack"/>
      <w:bookmarkEnd w:id="0"/>
    </w:p>
    <w:p w:rsidR="0017021F" w:rsidRDefault="00951640">
      <w:r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2B6A661D" wp14:editId="2BDC3A62">
            <wp:extent cx="7107704" cy="5343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6" cy="53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21F">
      <w:pgSz w:w="11907" w:h="16839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C3"/>
    <w:rsid w:val="00073BAF"/>
    <w:rsid w:val="0017021F"/>
    <w:rsid w:val="00226AC6"/>
    <w:rsid w:val="003F2DBB"/>
    <w:rsid w:val="00503534"/>
    <w:rsid w:val="0055246E"/>
    <w:rsid w:val="005C525E"/>
    <w:rsid w:val="007D396C"/>
    <w:rsid w:val="007F09C3"/>
    <w:rsid w:val="00945C11"/>
    <w:rsid w:val="00951640"/>
    <w:rsid w:val="0097554F"/>
    <w:rsid w:val="00AC2F63"/>
    <w:rsid w:val="00AF358D"/>
    <w:rsid w:val="00B83F32"/>
    <w:rsid w:val="00B852E8"/>
    <w:rsid w:val="00DD5AC7"/>
    <w:rsid w:val="00EC51A8"/>
    <w:rsid w:val="00F8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058892-B1EF-43FB-AC1B-FEC8285C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2">
    <w:name w:val="TableStyle2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3">
    <w:name w:val="TableStyle3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4">
    <w:name w:val="TableStyle4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5">
    <w:name w:val="TableStyle5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6">
    <w:name w:val="TableStyle6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7">
    <w:name w:val="TableStyle7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8">
    <w:name w:val="TableStyle8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9">
    <w:name w:val="TableStyle9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0">
    <w:name w:val="TableStyle10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1">
    <w:name w:val="TableStyle11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2">
    <w:name w:val="TableStyle12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3">
    <w:name w:val="TableStyle13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4">
    <w:name w:val="TableStyle14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5">
    <w:name w:val="TableStyle15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CC16E-0B5F-416B-BF74-A4F95AC7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1173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Мулюкин Дмитрий Геннадьевич</dc:creator>
  <cp:lastModifiedBy>Мулюкин Дмитрий Геннадьевич</cp:lastModifiedBy>
  <cp:revision>9</cp:revision>
  <cp:lastPrinted>2021-05-07T08:30:00Z</cp:lastPrinted>
  <dcterms:created xsi:type="dcterms:W3CDTF">2021-05-17T07:10:00Z</dcterms:created>
  <dcterms:modified xsi:type="dcterms:W3CDTF">2021-05-17T07:25:00Z</dcterms:modified>
</cp:coreProperties>
</file>