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53" w:rsidRPr="00E47431" w:rsidRDefault="00EE1653" w:rsidP="00EE1653">
      <w:pPr>
        <w:autoSpaceDE w:val="0"/>
        <w:autoSpaceDN w:val="0"/>
        <w:adjustRightInd w:val="0"/>
        <w:jc w:val="both"/>
        <w:rPr>
          <w:rFonts w:ascii="Arial" w:hAnsi="Arial" w:cs="Arial"/>
          <w:b/>
          <w:i/>
          <w:strike/>
          <w:sz w:val="20"/>
          <w:szCs w:val="20"/>
        </w:rPr>
      </w:pPr>
      <w:bookmarkStart w:id="0" w:name="_GoBack"/>
      <w:bookmarkEnd w:id="0"/>
      <w:r w:rsidRPr="00E47431">
        <w:rPr>
          <w:rFonts w:ascii="Arial" w:hAnsi="Arial" w:cs="Arial"/>
          <w:b/>
          <w:i/>
          <w:sz w:val="20"/>
          <w:szCs w:val="20"/>
        </w:rPr>
        <w:t>Порядок обеспечения обособленного учета ценных бумаг на основании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spacing w:after="120"/>
        <w:jc w:val="both"/>
        <w:rPr>
          <w:rFonts w:ascii="Arial" w:hAnsi="Arial" w:cs="Arial"/>
          <w:b/>
          <w:sz w:val="20"/>
          <w:szCs w:val="20"/>
        </w:rPr>
      </w:pPr>
      <w:r w:rsidRPr="00E47431">
        <w:rPr>
          <w:rFonts w:ascii="Arial" w:hAnsi="Arial" w:cs="Arial"/>
          <w:b/>
          <w:sz w:val="20"/>
          <w:szCs w:val="20"/>
        </w:rPr>
        <w:t>Общая информация</w:t>
      </w:r>
    </w:p>
    <w:p w:rsidR="00EE1653" w:rsidRPr="00E47431" w:rsidRDefault="00EE1653" w:rsidP="00EE1653">
      <w:pPr>
        <w:jc w:val="both"/>
        <w:rPr>
          <w:rFonts w:ascii="Arial" w:hAnsi="Arial" w:cs="Arial"/>
          <w:sz w:val="20"/>
          <w:szCs w:val="20"/>
        </w:rPr>
      </w:pPr>
      <w:r w:rsidRPr="00E47431">
        <w:rPr>
          <w:rFonts w:ascii="Arial" w:hAnsi="Arial" w:cs="Arial"/>
          <w:sz w:val="20"/>
          <w:szCs w:val="20"/>
        </w:rPr>
        <w:t>Настоящий «Порядок обеспечения обособленного учета ценных бумаг на основании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r w:rsidRPr="00E47431" w:rsidDel="00AC294B">
        <w:rPr>
          <w:rFonts w:ascii="Arial" w:hAnsi="Arial" w:cs="Arial"/>
          <w:sz w:val="20"/>
          <w:szCs w:val="20"/>
        </w:rPr>
        <w:t xml:space="preserve"> </w:t>
      </w:r>
      <w:r w:rsidRPr="00E47431">
        <w:rPr>
          <w:rFonts w:ascii="Arial" w:hAnsi="Arial" w:cs="Arial"/>
          <w:sz w:val="20"/>
          <w:szCs w:val="20"/>
        </w:rPr>
        <w:t xml:space="preserve">(далее – Порядок, Указ) является временным порядком осуществления депозитарием дополнительных мероприятий в целях соблюдения Указа и определяет порядок обеспечения на основании </w:t>
      </w:r>
      <w:hyperlink r:id="rId8" w:history="1">
        <w:r w:rsidRPr="00E47431">
          <w:rPr>
            <w:rFonts w:ascii="Arial" w:hAnsi="Arial" w:cs="Arial"/>
            <w:sz w:val="20"/>
            <w:szCs w:val="20"/>
          </w:rPr>
          <w:t>пунктов 7</w:t>
        </w:r>
      </w:hyperlink>
      <w:r w:rsidRPr="00E47431">
        <w:rPr>
          <w:rFonts w:ascii="Arial" w:hAnsi="Arial" w:cs="Arial"/>
          <w:sz w:val="20"/>
          <w:szCs w:val="20"/>
        </w:rPr>
        <w:t xml:space="preserve"> и </w:t>
      </w:r>
      <w:hyperlink r:id="rId9" w:history="1">
        <w:r w:rsidRPr="00E47431">
          <w:rPr>
            <w:rFonts w:ascii="Arial" w:hAnsi="Arial" w:cs="Arial"/>
            <w:sz w:val="20"/>
            <w:szCs w:val="20"/>
          </w:rPr>
          <w:t>7(1)</w:t>
        </w:r>
      </w:hyperlink>
      <w:r w:rsidRPr="00E47431">
        <w:rPr>
          <w:rFonts w:ascii="Arial" w:hAnsi="Arial" w:cs="Arial"/>
          <w:sz w:val="20"/>
          <w:szCs w:val="20"/>
        </w:rPr>
        <w:t xml:space="preserve"> Указа и в целях выполнения пункта 1.3 Решения** обособленного учета:</w:t>
      </w:r>
    </w:p>
    <w:p w:rsidR="00EE1653" w:rsidRPr="00E47431" w:rsidRDefault="00EE1653" w:rsidP="00EE1653">
      <w:pPr>
        <w:jc w:val="both"/>
        <w:rPr>
          <w:rFonts w:ascii="Arial" w:hAnsi="Arial" w:cs="Arial"/>
          <w:sz w:val="20"/>
          <w:szCs w:val="20"/>
        </w:rPr>
      </w:pPr>
    </w:p>
    <w:p w:rsidR="00EE1653" w:rsidRPr="00E47431" w:rsidRDefault="00EE1653" w:rsidP="00EE1653">
      <w:pPr>
        <w:autoSpaceDE w:val="0"/>
        <w:autoSpaceDN w:val="0"/>
        <w:adjustRightInd w:val="0"/>
        <w:spacing w:before="240"/>
        <w:contextualSpacing/>
        <w:jc w:val="both"/>
        <w:rPr>
          <w:rFonts w:ascii="Arial" w:hAnsi="Arial" w:cs="Arial"/>
          <w:sz w:val="20"/>
          <w:szCs w:val="20"/>
        </w:rPr>
      </w:pPr>
      <w:r w:rsidRPr="00E47431">
        <w:rPr>
          <w:rFonts w:ascii="Arial" w:hAnsi="Arial" w:cs="Arial"/>
          <w:sz w:val="20"/>
          <w:szCs w:val="20"/>
        </w:rPr>
        <w:t xml:space="preserve">- Российских ценных бумаг [1], </w:t>
      </w:r>
    </w:p>
    <w:p w:rsidR="00EE1653" w:rsidRPr="00E47431" w:rsidRDefault="00EE1653" w:rsidP="00EE1653">
      <w:pPr>
        <w:autoSpaceDE w:val="0"/>
        <w:autoSpaceDN w:val="0"/>
        <w:adjustRightInd w:val="0"/>
        <w:spacing w:before="240" w:after="240"/>
        <w:contextualSpacing/>
        <w:jc w:val="both"/>
        <w:rPr>
          <w:rFonts w:ascii="Arial" w:hAnsi="Arial" w:cs="Arial"/>
          <w:sz w:val="20"/>
          <w:szCs w:val="20"/>
        </w:rPr>
      </w:pPr>
      <w:r w:rsidRPr="00E47431">
        <w:rPr>
          <w:rFonts w:ascii="Arial" w:hAnsi="Arial" w:cs="Arial"/>
          <w:sz w:val="20"/>
          <w:szCs w:val="20"/>
        </w:rPr>
        <w:t>- Еврооблигаций, Замещающих облигаций [2].</w:t>
      </w:r>
    </w:p>
    <w:p w:rsidR="00EE1653" w:rsidRPr="00E47431" w:rsidRDefault="00EE1653" w:rsidP="00EE1653">
      <w:pPr>
        <w:autoSpaceDE w:val="0"/>
        <w:autoSpaceDN w:val="0"/>
        <w:adjustRightInd w:val="0"/>
        <w:spacing w:before="240" w:after="240"/>
        <w:contextualSpacing/>
        <w:jc w:val="both"/>
        <w:rPr>
          <w:rFonts w:ascii="Arial" w:hAnsi="Arial" w:cs="Arial"/>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Депозитарий ООО «КОМПАНИЯ ТАКТ» (далее – Депозитарий, Общество) дополнительно в целях исполнения требований Указа, исходя из специфики существующих депозитарных договоров, заключенных сделок, ценных бумаг клиентов, действует с учетом настоящего Порядка.</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Депозитарий обеспечивает обособленный учет Российских ценных бумаг и Еврооблигаций и Замещающих облигаций (далее вместе и по отдельности – Ценные бумаги) до предоставления депозитариями (регистраторами) депонентов/депонентами </w:t>
      </w:r>
      <w:r w:rsidRPr="00E47431">
        <w:rPr>
          <w:rFonts w:ascii="Arial" w:hAnsi="Arial" w:cs="Arial"/>
          <w:b/>
          <w:sz w:val="20"/>
          <w:szCs w:val="20"/>
        </w:rPr>
        <w:t>документов</w:t>
      </w:r>
      <w:r w:rsidRPr="00E47431">
        <w:rPr>
          <w:rFonts w:ascii="Arial" w:hAnsi="Arial" w:cs="Arial"/>
          <w:sz w:val="20"/>
          <w:szCs w:val="20"/>
        </w:rPr>
        <w:t>, подтверждающих, что принадлежащие депонентам Ценные бумаги не соответствуют критериям пункта</w:t>
      </w:r>
      <w:hyperlink r:id="rId10" w:history="1">
        <w:r w:rsidRPr="00E47431">
          <w:rPr>
            <w:rFonts w:ascii="Arial" w:hAnsi="Arial" w:cs="Arial"/>
            <w:sz w:val="20"/>
            <w:szCs w:val="20"/>
          </w:rPr>
          <w:t xml:space="preserve"> 1</w:t>
        </w:r>
      </w:hyperlink>
      <w:r w:rsidRPr="00E47431">
        <w:rPr>
          <w:rStyle w:val="afd"/>
          <w:rFonts w:ascii="Arial" w:hAnsi="Arial" w:cs="Arial"/>
          <w:sz w:val="20"/>
          <w:szCs w:val="20"/>
        </w:rPr>
        <w:footnoteReference w:id="1"/>
      </w:r>
      <w:r w:rsidRPr="00E47431">
        <w:rPr>
          <w:rFonts w:ascii="Arial" w:hAnsi="Arial" w:cs="Arial"/>
          <w:sz w:val="20"/>
          <w:szCs w:val="20"/>
        </w:rPr>
        <w:t xml:space="preserve"> Указа или пункта 7(1)</w:t>
      </w:r>
      <w:r w:rsidRPr="00E47431">
        <w:rPr>
          <w:rStyle w:val="afd"/>
          <w:rFonts w:ascii="Arial" w:hAnsi="Arial" w:cs="Arial"/>
          <w:sz w:val="20"/>
          <w:szCs w:val="20"/>
        </w:rPr>
        <w:footnoteReference w:id="2"/>
      </w:r>
      <w:r w:rsidRPr="00E47431">
        <w:rPr>
          <w:rFonts w:ascii="Arial" w:hAnsi="Arial" w:cs="Arial"/>
          <w:sz w:val="20"/>
          <w:szCs w:val="20"/>
        </w:rPr>
        <w:t xml:space="preserve"> Указа, и/или требования Указа не распространяются на сделки/операции с принадлежащими им Ценными бумагами (</w:t>
      </w:r>
      <w:r w:rsidRPr="00E47431">
        <w:rPr>
          <w:rFonts w:ascii="Arial" w:hAnsi="Arial" w:cs="Arial"/>
          <w:b/>
          <w:sz w:val="20"/>
          <w:szCs w:val="20"/>
        </w:rPr>
        <w:t>подтверждающих отсутствие необходимости ведения обособленного учета</w:t>
      </w:r>
      <w:r w:rsidRPr="00E47431">
        <w:rPr>
          <w:rFonts w:ascii="Arial" w:hAnsi="Arial" w:cs="Arial"/>
          <w:sz w:val="20"/>
          <w:szCs w:val="20"/>
        </w:rPr>
        <w:t>) (далее – Подтверждающие документы).</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b/>
          <w:sz w:val="20"/>
          <w:szCs w:val="20"/>
        </w:rPr>
        <w:t>Любые операции по приему на учет Ценных бумаг</w:t>
      </w:r>
      <w:r w:rsidRPr="00E47431">
        <w:rPr>
          <w:rFonts w:ascii="Arial" w:hAnsi="Arial" w:cs="Arial"/>
          <w:sz w:val="20"/>
          <w:szCs w:val="20"/>
        </w:rPr>
        <w:t xml:space="preserve"> в Депозитарий из иных депозитариев и регистраторов сопровождаются их зачислением на обособленный раздел счета депо депонента, и Депозитарий обеспечивает их обособленный учет </w:t>
      </w:r>
      <w:r w:rsidRPr="00E47431">
        <w:rPr>
          <w:rFonts w:ascii="Arial" w:hAnsi="Arial" w:cs="Arial"/>
          <w:b/>
          <w:sz w:val="20"/>
          <w:szCs w:val="20"/>
        </w:rPr>
        <w:t>до</w:t>
      </w:r>
      <w:r w:rsidRPr="00E47431">
        <w:rPr>
          <w:rFonts w:ascii="Arial" w:hAnsi="Arial" w:cs="Arial"/>
          <w:sz w:val="20"/>
          <w:szCs w:val="20"/>
        </w:rPr>
        <w:t xml:space="preserve"> получения от депозитария (регистратора) депонента/депонента соответствующих Подтверждающих документов.</w:t>
      </w:r>
    </w:p>
    <w:p w:rsidR="00EE1653" w:rsidRPr="00E47431" w:rsidRDefault="00EE1653" w:rsidP="00EE1653">
      <w:pPr>
        <w:rPr>
          <w:rFonts w:ascii="Arial" w:hAnsi="Arial" w:cs="Arial"/>
          <w:b/>
          <w:sz w:val="20"/>
          <w:szCs w:val="20"/>
        </w:rPr>
      </w:pPr>
      <w:r w:rsidRPr="00E47431">
        <w:rPr>
          <w:rFonts w:ascii="Arial" w:hAnsi="Arial" w:cs="Arial"/>
          <w:b/>
          <w:sz w:val="20"/>
          <w:szCs w:val="20"/>
        </w:rPr>
        <w:t>Порядок контрольных процедур Депозитария при установлении / прекращении обособленного учета</w:t>
      </w:r>
    </w:p>
    <w:p w:rsidR="00EE1653" w:rsidRPr="00E47431" w:rsidRDefault="00EE1653" w:rsidP="00EE1653">
      <w:pPr>
        <w:rPr>
          <w:rFonts w:ascii="Arial" w:hAnsi="Arial" w:cs="Arial"/>
          <w:b/>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 Зачисление Депозитарием Ценных бумаг на счет депо без их одновременного обособления осуществляется при предоставлении в Общество передающими депозитариями (регистраторами)/депонентами совместно с поручением на прием ценных бумаг/независимо от поручения Подтверждающих документов.</w:t>
      </w:r>
    </w:p>
    <w:p w:rsidR="00EE1653" w:rsidRPr="00E47431" w:rsidRDefault="00EE1653" w:rsidP="00EE1653">
      <w:pPr>
        <w:autoSpaceDE w:val="0"/>
        <w:autoSpaceDN w:val="0"/>
        <w:adjustRightInd w:val="0"/>
        <w:spacing w:after="240"/>
        <w:jc w:val="both"/>
        <w:rPr>
          <w:rFonts w:ascii="Arial" w:hAnsi="Arial" w:cs="Arial"/>
          <w:sz w:val="20"/>
          <w:szCs w:val="20"/>
        </w:rPr>
      </w:pPr>
      <w:r w:rsidRPr="00B0098B">
        <w:rPr>
          <w:rFonts w:ascii="Arial" w:hAnsi="Arial" w:cs="Arial"/>
          <w:sz w:val="20"/>
          <w:szCs w:val="20"/>
        </w:rPr>
        <w:t xml:space="preserve">2. В целях соблюдения требований Указа в случае если Ценные бумаги были зачислены в Общество в период </w:t>
      </w:r>
      <w:r w:rsidRPr="000C2865">
        <w:rPr>
          <w:rFonts w:ascii="Arial" w:hAnsi="Arial" w:cs="Arial"/>
          <w:sz w:val="20"/>
          <w:szCs w:val="20"/>
        </w:rPr>
        <w:t>с 01.03.2022 (03.03.2023) по 09.12.2025, в отношении которых в Общество ранее не предоставлялись Подтвер</w:t>
      </w:r>
      <w:r w:rsidRPr="00B0098B">
        <w:rPr>
          <w:rFonts w:ascii="Arial" w:hAnsi="Arial" w:cs="Arial"/>
          <w:sz w:val="20"/>
          <w:szCs w:val="20"/>
        </w:rPr>
        <w:t>ждающие документы, у передающих депозитариев/депонентов запрашиваются необходимые Подтверждающие документы.</w:t>
      </w:r>
      <w:r w:rsidRPr="00E47431">
        <w:rPr>
          <w:rFonts w:ascii="Arial" w:hAnsi="Arial" w:cs="Arial"/>
          <w:sz w:val="20"/>
          <w:szCs w:val="20"/>
        </w:rPr>
        <w:t xml:space="preserve">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lastRenderedPageBreak/>
        <w:t>3. Перечень Подтверждающих документов и требования к Подтверждающим документам: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3.1. Если депонент приобрел Ценные бумаги (не распространяется на Еврооблигации и Замещающие облигации) до 01.03.2022 включительно и непрерывно владел Ценными бумагами (ДР [3] в случае конвертации в Акции) начиная с 01.03.2022 или ранее, но учет данных Ценных бумаг до даты их зачисления в Общество осуществлялся в указанный период в ином российском депозитарии/регистраторе и (или) в иностранных учетных системах, депонентом предоставляются документы, подтверждающие непрерывное владение Ценными бумагами (в случае предоставления подтверждающих документов в отношении Акций, полученных после 01.03.2022 в результате конвертации ДР, также предоставляются документы в отношении ДР), которые учитывались в иностранных учетных системах, российском депозитарии/регистраторе, начиная с 01.03.2022 или ранее до даты зачисления в Общество.</w:t>
      </w:r>
    </w:p>
    <w:p w:rsidR="00EE1653" w:rsidRPr="00E47431" w:rsidRDefault="00EE1653" w:rsidP="00EE1653">
      <w:pPr>
        <w:pStyle w:val="ae"/>
        <w:numPr>
          <w:ilvl w:val="0"/>
          <w:numId w:val="14"/>
        </w:numPr>
        <w:autoSpaceDE w:val="0"/>
        <w:autoSpaceDN w:val="0"/>
        <w:adjustRightInd w:val="0"/>
        <w:spacing w:after="240"/>
        <w:ind w:left="0" w:firstLine="0"/>
        <w:jc w:val="both"/>
        <w:rPr>
          <w:rFonts w:ascii="Arial" w:hAnsi="Arial" w:cs="Arial"/>
          <w:sz w:val="20"/>
          <w:szCs w:val="20"/>
        </w:rPr>
      </w:pPr>
      <w:r w:rsidRPr="00E47431">
        <w:rPr>
          <w:rFonts w:ascii="Arial" w:hAnsi="Arial" w:cs="Arial"/>
          <w:sz w:val="20"/>
          <w:szCs w:val="20"/>
        </w:rPr>
        <w:t>Такими документами из иностранных учетных систем могут являться выписка со счета (копия выписки) или отчет о движении (копия отчета) или распечатанный образ электронного документа о состоянии счета из аккаунта (личного кабинета) у иностранного брокера/депозитария в сети «Интернет», иные подтверждающие документы.</w:t>
      </w:r>
    </w:p>
    <w:p w:rsidR="00EE1653" w:rsidRPr="00E47431" w:rsidRDefault="00EE1653" w:rsidP="00EE1653">
      <w:pPr>
        <w:pStyle w:val="ae"/>
        <w:numPr>
          <w:ilvl w:val="0"/>
          <w:numId w:val="14"/>
        </w:numPr>
        <w:autoSpaceDE w:val="0"/>
        <w:autoSpaceDN w:val="0"/>
        <w:adjustRightInd w:val="0"/>
        <w:spacing w:after="240"/>
        <w:ind w:left="0" w:firstLine="0"/>
        <w:jc w:val="both"/>
        <w:rPr>
          <w:rFonts w:ascii="Arial" w:hAnsi="Arial" w:cs="Arial"/>
          <w:sz w:val="20"/>
          <w:szCs w:val="20"/>
        </w:rPr>
      </w:pPr>
      <w:r w:rsidRPr="00E47431">
        <w:rPr>
          <w:rFonts w:ascii="Arial" w:hAnsi="Arial" w:cs="Arial"/>
          <w:sz w:val="20"/>
          <w:szCs w:val="20"/>
        </w:rPr>
        <w:t>Если Ценные бумаги были переведены депонентом с его счета депо/лицевого счета в Общество из иного российского депозитария/регистратора, передающему депозитарию депонента/депоненту необходимо предоставить выписку (отчет/справку) о движении Ценных бумаг/ДР за весь период учета, начиная с 01.03.2022 или ранее, от указанного российского депозитария/регистратора [4] по счету депо (лицевому счету) владельца.</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Если в выписке (отчете/справке) о движении Ценных бумаг отсутствует основание зачисления Ценных бумаг на счет владельца после 01.03.2022 в российском депозитарии/регистраторе, и (или) информация о лице, со счета которого были зачислены Ценные бумаги на счет владельца после 01.03.2022, то указанная информация предоставляется дополнительно в форме выписок, отчетов, справок депозитария/регистратора по счету депо/лицевому счету контрагента депонента по операции (сделке).</w:t>
      </w:r>
    </w:p>
    <w:p w:rsidR="00EE1653" w:rsidRPr="00E47431" w:rsidRDefault="00EE1653" w:rsidP="00EE1653">
      <w:pPr>
        <w:pStyle w:val="ae"/>
        <w:numPr>
          <w:ilvl w:val="0"/>
          <w:numId w:val="9"/>
        </w:numPr>
        <w:autoSpaceDE w:val="0"/>
        <w:autoSpaceDN w:val="0"/>
        <w:adjustRightInd w:val="0"/>
        <w:spacing w:before="180"/>
        <w:ind w:left="0" w:firstLine="0"/>
        <w:jc w:val="both"/>
        <w:rPr>
          <w:rFonts w:ascii="Arial" w:hAnsi="Arial" w:cs="Arial"/>
          <w:sz w:val="20"/>
          <w:szCs w:val="20"/>
        </w:rPr>
      </w:pPr>
      <w:r w:rsidRPr="00E47431">
        <w:rPr>
          <w:rFonts w:ascii="Arial" w:hAnsi="Arial" w:cs="Arial"/>
          <w:sz w:val="20"/>
          <w:szCs w:val="20"/>
        </w:rPr>
        <w:t xml:space="preserve">Заверение об отсутствии оснований для ведения обособленного учета, полученное от передающего российского депозитария (регистратора). Обособленный учет полученных Ценных бумаг не осуществляется при условии отсутствия у Депозитария сомнений в отсутствии оснований для ведения обособленного учета переданных ему для учета прав ценных бумаг и (или) достоверности полученного от передавшего ценные бумаги для учета прав депозитария (регистратора) Заверения об отсутствии оснований для ведения обособленного учета. Такое Заверение является обязательным начиная с 12.01.2026. Такое </w:t>
      </w:r>
      <w:r w:rsidRPr="00E47431">
        <w:rPr>
          <w:rFonts w:ascii="Arial" w:hAnsi="Arial" w:cs="Arial"/>
          <w:i/>
          <w:sz w:val="20"/>
          <w:szCs w:val="20"/>
        </w:rPr>
        <w:t>Заверение считается Депозитарием достаточным</w:t>
      </w:r>
      <w:r w:rsidRPr="00E47431">
        <w:rPr>
          <w:rFonts w:ascii="Arial" w:hAnsi="Arial" w:cs="Arial"/>
          <w:sz w:val="20"/>
          <w:szCs w:val="20"/>
        </w:rPr>
        <w:t xml:space="preserve"> Подтверждающим документом (пункт 1.</w:t>
      </w:r>
      <w:r w:rsidR="00157F26">
        <w:rPr>
          <w:rFonts w:ascii="Arial" w:hAnsi="Arial" w:cs="Arial"/>
          <w:sz w:val="20"/>
          <w:szCs w:val="20"/>
        </w:rPr>
        <w:t>14</w:t>
      </w:r>
      <w:r w:rsidRPr="00E47431">
        <w:rPr>
          <w:rFonts w:ascii="Arial" w:hAnsi="Arial" w:cs="Arial"/>
          <w:sz w:val="20"/>
          <w:szCs w:val="20"/>
        </w:rPr>
        <w:t xml:space="preserve"> Решения**) и обособление полученных Ценных бумаг не осуществляется.</w:t>
      </w:r>
    </w:p>
    <w:p w:rsidR="00EE1653" w:rsidRPr="00E47431" w:rsidRDefault="00EE1653" w:rsidP="00B0098B">
      <w:pPr>
        <w:pStyle w:val="ae"/>
        <w:autoSpaceDE w:val="0"/>
        <w:autoSpaceDN w:val="0"/>
        <w:adjustRightInd w:val="0"/>
        <w:spacing w:before="180"/>
        <w:ind w:left="0"/>
        <w:jc w:val="both"/>
        <w:rPr>
          <w:rFonts w:ascii="Arial" w:hAnsi="Arial" w:cs="Arial"/>
          <w:sz w:val="20"/>
          <w:szCs w:val="20"/>
        </w:rPr>
      </w:pPr>
      <w:r w:rsidRPr="00B0098B">
        <w:rPr>
          <w:rFonts w:ascii="Arial" w:hAnsi="Arial" w:cs="Arial"/>
          <w:sz w:val="20"/>
          <w:szCs w:val="20"/>
        </w:rPr>
        <w:t>Для соблюдения требований пункта 1.9 Решения Депозитарий при принятии решений для ведения обособленного учета/отсутствия оснований для ведения обособленного учета может руководствоваться описанием кодов НКО АО НРД, полученных при проведении операций.</w:t>
      </w:r>
    </w:p>
    <w:p w:rsidR="00EE1653" w:rsidRPr="00E47431" w:rsidRDefault="00EE1653" w:rsidP="00EE1653">
      <w:pPr>
        <w:autoSpaceDE w:val="0"/>
        <w:autoSpaceDN w:val="0"/>
        <w:adjustRightInd w:val="0"/>
        <w:spacing w:before="180"/>
        <w:jc w:val="both"/>
        <w:rPr>
          <w:rFonts w:ascii="Arial" w:hAnsi="Arial" w:cs="Arial"/>
          <w:sz w:val="20"/>
          <w:szCs w:val="20"/>
        </w:rPr>
      </w:pPr>
      <w:r w:rsidRPr="00E47431">
        <w:rPr>
          <w:rFonts w:ascii="Arial" w:hAnsi="Arial" w:cs="Arial"/>
          <w:sz w:val="20"/>
          <w:szCs w:val="20"/>
        </w:rPr>
        <w:t>При неполучении Депозитарием в отношении полученных ценных бумаг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либо при получении •заверения о необходимости ведения обособленного учета или •уведомления о непроведении проверки такие ценные бумаги обособляются (пункт 1.13 Решения**).</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i/>
          <w:sz w:val="20"/>
          <w:szCs w:val="20"/>
        </w:rPr>
      </w:pPr>
      <w:r w:rsidRPr="00E47431">
        <w:rPr>
          <w:rFonts w:ascii="Arial" w:hAnsi="Arial" w:cs="Arial"/>
          <w:i/>
          <w:sz w:val="20"/>
          <w:szCs w:val="20"/>
        </w:rPr>
        <w:t>Описание обстоятельств, при которых у депозитария (регистратора) могут возникать сомнения в отсутствии оснований для ведения обособленного учета переданных ему для учета прав ценных бумаг и (или) в достоверности полученного от депозитария (регистратора) Заверения об отсутствии оснований для ведения обособленного учета (пункт 1.3 Решения**):</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Получение Заверения по официальным каналам связи с депозитарием (регистратором) или официальным письмом считается Депозитарием достаточным для устранения возможных сомнений за исключением однозначной информации от Банка России о имеющихся признаках несоответствия Указу (и т.п.) деятельности передающего депозитария (регистратора), депонента, контрагента депонента по операции или если имеющиеся у Депозитария документы прямо противоречат содержанию Заверения/операции).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3.2. Если Ценные бумаги (ДР в случае конвертации в Акции) были приобретены депонентом после 01.03.2022 (после 03.03.2023 – для Еврооблигаций и Замещающих облигаций), предоставляются следующие документы:</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3.2.1. Документы из иностранных учетных систем, российского депозитария/регистратора, подтверждающие владение депонентом Ценными бумагами/ДР с даты приобретения до даты зачисления в Общество, согласно перечню, указанному в п. 3.1.</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3.2.2. Документы,</w:t>
      </w:r>
      <w:r w:rsidRPr="00E47431">
        <w:rPr>
          <w:rFonts w:ascii="Arial" w:hAnsi="Arial" w:cs="Arial"/>
          <w:b/>
          <w:sz w:val="20"/>
          <w:szCs w:val="20"/>
        </w:rPr>
        <w:t xml:space="preserve"> подтверждающие отсутствие в цепочке владельцев </w:t>
      </w:r>
      <w:r w:rsidRPr="00E47431">
        <w:rPr>
          <w:rFonts w:ascii="Arial" w:hAnsi="Arial" w:cs="Arial"/>
          <w:sz w:val="20"/>
          <w:szCs w:val="20"/>
        </w:rPr>
        <w:t xml:space="preserve">Ценных бумаг/ДР (в том числе ДР, если подтверждающие документы подаются в отношении Акций, полученных в результате конвертации ДР) Лиц недружественных иностранных государств [5] в период после 01.03.2022 (03.03.2023) до момента приобретения </w:t>
      </w:r>
      <w:r w:rsidRPr="00E47431">
        <w:rPr>
          <w:rFonts w:ascii="Arial" w:hAnsi="Arial" w:cs="Arial"/>
          <w:sz w:val="20"/>
          <w:szCs w:val="20"/>
        </w:rPr>
        <w:lastRenderedPageBreak/>
        <w:t>депонентом таких Ценных бумаг/ДР. Таким образом, в целях исключения оснований для обособления Ценных бумаг требуется предоставление документов, подтверждающих приобретение Ценных бумаг/ДР у резидента РФ, дружественного нерезидента РФ [6] или КИК [7] по каждой сделке, начиная с 01.03.2022 (03.03.2023) до даты приобретения Ценных бумаг/ДР депонентом.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Такими документами могут быть:</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выписка (отчет/справка) о движении Ценных бумаг/ДР, иной документ из российского депозитария/регистратора/иностранного депозитария за период владения;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договор купли-продажи, иной документ о переходе прав собственности на ценные бумаги;</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документы, подтверждающие резидентство РФ продавца и (или) отсутствие оснований отнесения контрагента (продавца) к категории Лиц недружественных иностранных государств [8] по сделке;</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иные документы.</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3.3. В иных случаях (кроме указанных в п. 3.1 и п. 3.2) депонентами предоставляются документы, подтверждающие отсутствие оснований для ограничений, установленных Указом и Официальным разъяснением Банка России от 24.04.2023 № 2-ОР «О разъяснении отдельных положений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Решением**, в том числе - отчеты о приобретении Ценных бумаг на </w:t>
      </w:r>
      <w:r w:rsidRPr="00E47431">
        <w:rPr>
          <w:rFonts w:ascii="Arial" w:hAnsi="Arial" w:cs="Arial"/>
          <w:b/>
          <w:sz w:val="20"/>
          <w:szCs w:val="20"/>
        </w:rPr>
        <w:t xml:space="preserve">организованном </w:t>
      </w:r>
      <w:r w:rsidRPr="00E47431">
        <w:rPr>
          <w:rFonts w:ascii="Arial" w:hAnsi="Arial" w:cs="Arial"/>
          <w:sz w:val="20"/>
          <w:szCs w:val="20"/>
        </w:rPr>
        <w:t>(</w:t>
      </w:r>
      <w:r w:rsidRPr="00E47431">
        <w:rPr>
          <w:rFonts w:ascii="Arial" w:hAnsi="Arial" w:cs="Arial"/>
          <w:b/>
          <w:sz w:val="20"/>
          <w:szCs w:val="20"/>
        </w:rPr>
        <w:t>биржевом</w:t>
      </w:r>
      <w:r w:rsidRPr="00E47431">
        <w:rPr>
          <w:rFonts w:ascii="Arial" w:hAnsi="Arial" w:cs="Arial"/>
          <w:sz w:val="20"/>
          <w:szCs w:val="20"/>
        </w:rPr>
        <w:t>) рынке на торгах в результате сделок (</w:t>
      </w:r>
      <w:r w:rsidRPr="00E47431">
        <w:rPr>
          <w:rFonts w:ascii="Arial" w:hAnsi="Arial" w:cs="Arial"/>
          <w:b/>
          <w:sz w:val="20"/>
          <w:szCs w:val="20"/>
        </w:rPr>
        <w:t>биржевых</w:t>
      </w:r>
      <w:r w:rsidRPr="00E47431">
        <w:rPr>
          <w:rFonts w:ascii="Arial" w:hAnsi="Arial" w:cs="Arial"/>
          <w:sz w:val="20"/>
          <w:szCs w:val="20"/>
        </w:rPr>
        <w:t xml:space="preserve">), заключенных на основании адресных или безадресных заявок по итогам клиринга и контрагентом по которым являлся Центральный контрагент НКО </w:t>
      </w:r>
      <w:r w:rsidR="00467916">
        <w:rPr>
          <w:rFonts w:ascii="Arial" w:hAnsi="Arial" w:cs="Arial"/>
          <w:sz w:val="20"/>
          <w:szCs w:val="20"/>
        </w:rPr>
        <w:t>НКЦ (АО) или другой контрагент.</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3.4. Подтверждающие документы должны содержать информацию, позволяющую идентифицировать депонента и Ценные бумаги/ДР, а также контрагента – в случае приобретения Ценных бумаг/ДР после 01.03.2022 (03.03.2023) у резидента РФ, дружественного нерезидента РФ, КИК.</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3.5. Подтверждающие документы могут быть составлены на русском или иностранном языке. В случае составления документа на иностранном языке также предоставляется перевод на русский язык.</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3.6. Документы из иностранных учетных систем или иные документы от иностранных брокеров/депозитариев, подтверждающие владение Ценными бумагами/ДР (выписка (копия выписки) /отчет (копия отчета) /распечатанный образ электронного документа о состоянии счета из аккаунта (личного кабинета) в сети «Интернет» от иностранного брокера/депозитария, иные документы), составленные на английском языке, могут быть предоставлены без перевода на русский язык.</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3.7. Выписка/отчет/справка о движении Ценных бумаг (а также ДР) из российского депозитария/регистратора предоставляются в виде оригинала/нотариально заверенной копии/ электронного документа, полученного по каналам электронного документооборота/копии, заверенной депонентом.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3.8. Документы о переходе прав собственности на Ценные бумаги (ДР в случае конвертации в акции) (например, договор купли-продажи, отчет брокера, иное) предоставляются в виде оригинала/нотариально заверенной копии/копии, заверенной депонентом. Указанные документы могут быть приняты Обществом в ином виде.</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3.9. Депозитарий может потребовать иные документы/сведения.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4. По общему правилу депозитарий не осуществляет по счетам депо операции по списанию обособленных ценных бумаг кроме как при выполнении условий пункта 5 Порядка и пункта 7 Порядка.</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5. При осуществлении сделок (операций) (указанных в пункте 2 Указа) с Ценными бумагами (при условии, что такие сделки (операции) </w:t>
      </w:r>
      <w:r w:rsidRPr="00E47431">
        <w:rPr>
          <w:rFonts w:ascii="Arial" w:hAnsi="Arial" w:cs="Arial"/>
          <w:b/>
          <w:sz w:val="20"/>
          <w:szCs w:val="20"/>
        </w:rPr>
        <w:t xml:space="preserve">влекут переход права собственности </w:t>
      </w:r>
      <w:r w:rsidRPr="00E47431">
        <w:rPr>
          <w:rFonts w:ascii="Arial" w:hAnsi="Arial" w:cs="Arial"/>
          <w:sz w:val="20"/>
          <w:szCs w:val="20"/>
        </w:rPr>
        <w:t>на эти Ценные бумаги, их передачу в доверительное управление или залог), в отношении которых Депозитарий обеспечивает обособленный учет в соответствии с пунктом 7 и пунктом 7(1) Указа, применяется особый порядок совершения сделок (операций) с ними на основании разрешений</w:t>
      </w:r>
      <w:r w:rsidRPr="00E47431">
        <w:rPr>
          <w:rStyle w:val="afd"/>
          <w:rFonts w:ascii="Arial" w:hAnsi="Arial" w:cs="Arial"/>
          <w:sz w:val="20"/>
          <w:szCs w:val="20"/>
        </w:rPr>
        <w:footnoteReference w:id="3"/>
      </w:r>
      <w:r w:rsidRPr="00E47431">
        <w:rPr>
          <w:rFonts w:ascii="Arial" w:hAnsi="Arial" w:cs="Arial"/>
          <w:sz w:val="20"/>
          <w:szCs w:val="20"/>
        </w:rPr>
        <w:t xml:space="preserve">, выдаваемых Центральным </w:t>
      </w:r>
      <w:r w:rsidR="00366368">
        <w:rPr>
          <w:rFonts w:ascii="Arial" w:hAnsi="Arial" w:cs="Arial"/>
          <w:sz w:val="20"/>
          <w:szCs w:val="20"/>
        </w:rPr>
        <w:t>Банк</w:t>
      </w:r>
      <w:r w:rsidRPr="00E47431">
        <w:rPr>
          <w:rFonts w:ascii="Arial" w:hAnsi="Arial" w:cs="Arial"/>
          <w:sz w:val="20"/>
          <w:szCs w:val="20"/>
        </w:rPr>
        <w:t xml:space="preserve">ом Российской Федерации или Правительственной комиссией по контролю за осуществлением иностранных инвестиций в Российской Федерации.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6. Последующие сделки (операции) с этими Ценными бумагами осуществляются с учетом ограничений, установленных Указом.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7. Требования Указа не распространяются на сделки (операции), указанные в пункте 5, пункте 7(2)</w:t>
      </w:r>
      <w:r w:rsidRPr="00E47431">
        <w:rPr>
          <w:rStyle w:val="afd"/>
          <w:rFonts w:ascii="Arial" w:hAnsi="Arial" w:cs="Arial"/>
          <w:sz w:val="20"/>
          <w:szCs w:val="20"/>
        </w:rPr>
        <w:footnoteReference w:id="4"/>
      </w:r>
      <w:r w:rsidRPr="00E47431">
        <w:rPr>
          <w:rFonts w:ascii="Arial" w:hAnsi="Arial" w:cs="Arial"/>
          <w:sz w:val="20"/>
          <w:szCs w:val="20"/>
        </w:rPr>
        <w:t>, пункте 8</w:t>
      </w:r>
      <w:r w:rsidRPr="00E47431">
        <w:rPr>
          <w:rStyle w:val="afd"/>
          <w:rFonts w:ascii="Arial" w:hAnsi="Arial" w:cs="Arial"/>
          <w:sz w:val="20"/>
          <w:szCs w:val="20"/>
        </w:rPr>
        <w:footnoteReference w:id="5"/>
      </w:r>
      <w:r w:rsidRPr="00E47431">
        <w:rPr>
          <w:rFonts w:ascii="Arial" w:hAnsi="Arial" w:cs="Arial"/>
          <w:sz w:val="20"/>
          <w:szCs w:val="20"/>
        </w:rPr>
        <w:t>, пункте 10 Указа, или которые не влекут переход права собственности на Ценные бумаги.</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8. Особенности учета обособленных ценных бумаг (пункт 1.5, пункт 1.15 Решения**)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Депозитарий:</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не осуществляет операции зачисления обособленных ценных бумаг на торговые счета депо, субсчета депо, открытые к клиринговому счету депо за исключением случаев их зачисления на такие счета на основании разрешений, выданных в соответствии с пунктами 2 и 3 Указа;</w:t>
      </w: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 не допускает учет прав на ценные бумаги, в отношении которых должен быть обеспечен обособленный учет, на торговых счетах депо, субсчетах депо, открытых к клиринговому счету депо за исключением случаев их зачисления на такие счета на основании разрешений, выданных в соответствии с </w:t>
      </w:r>
      <w:hyperlink r:id="rId11" w:history="1">
        <w:r w:rsidRPr="00E47431">
          <w:rPr>
            <w:rFonts w:ascii="Arial" w:hAnsi="Arial" w:cs="Arial"/>
            <w:sz w:val="20"/>
            <w:szCs w:val="20"/>
          </w:rPr>
          <w:t>пунктами 2</w:t>
        </w:r>
      </w:hyperlink>
      <w:r w:rsidRPr="00E47431">
        <w:rPr>
          <w:rFonts w:ascii="Arial" w:hAnsi="Arial" w:cs="Arial"/>
          <w:sz w:val="20"/>
          <w:szCs w:val="20"/>
        </w:rPr>
        <w:t xml:space="preserve"> и </w:t>
      </w:r>
      <w:hyperlink r:id="rId12" w:history="1">
        <w:r w:rsidRPr="00E47431">
          <w:rPr>
            <w:rFonts w:ascii="Arial" w:hAnsi="Arial" w:cs="Arial"/>
            <w:sz w:val="20"/>
            <w:szCs w:val="20"/>
          </w:rPr>
          <w:t>3</w:t>
        </w:r>
      </w:hyperlink>
      <w:r w:rsidRPr="00E47431">
        <w:rPr>
          <w:rFonts w:ascii="Arial" w:hAnsi="Arial" w:cs="Arial"/>
          <w:sz w:val="20"/>
          <w:szCs w:val="20"/>
        </w:rPr>
        <w:t xml:space="preserve"> Указа;</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w:t>
      </w:r>
      <w:hyperlink r:id="rId13" w:history="1">
        <w:r w:rsidRPr="00E47431">
          <w:rPr>
            <w:rFonts w:ascii="Arial" w:hAnsi="Arial" w:cs="Arial"/>
            <w:sz w:val="20"/>
            <w:szCs w:val="20"/>
          </w:rPr>
          <w:t>пунктом 2</w:t>
        </w:r>
      </w:hyperlink>
      <w:r w:rsidRPr="00E47431">
        <w:rPr>
          <w:rFonts w:ascii="Arial" w:hAnsi="Arial" w:cs="Arial"/>
          <w:sz w:val="20"/>
          <w:szCs w:val="20"/>
        </w:rPr>
        <w:t xml:space="preserve"> Указа, а также операций, совершаемых в соответствии с </w:t>
      </w:r>
      <w:hyperlink r:id="rId14" w:history="1">
        <w:r w:rsidRPr="00E47431">
          <w:rPr>
            <w:rFonts w:ascii="Arial" w:hAnsi="Arial" w:cs="Arial"/>
            <w:sz w:val="20"/>
            <w:szCs w:val="20"/>
          </w:rPr>
          <w:t>пунктом 10</w:t>
        </w:r>
      </w:hyperlink>
      <w:r w:rsidRPr="00E47431">
        <w:rPr>
          <w:rFonts w:ascii="Arial" w:hAnsi="Arial" w:cs="Arial"/>
          <w:sz w:val="20"/>
          <w:szCs w:val="20"/>
        </w:rPr>
        <w:t xml:space="preserve"> Указа ). </w:t>
      </w:r>
    </w:p>
    <w:p w:rsidR="00EE1653" w:rsidRPr="00E47431" w:rsidRDefault="00EE1653" w:rsidP="00EE1653">
      <w:pPr>
        <w:autoSpaceDE w:val="0"/>
        <w:autoSpaceDN w:val="0"/>
        <w:spacing w:before="200" w:after="240"/>
        <w:jc w:val="both"/>
        <w:rPr>
          <w:rFonts w:ascii="Arial" w:hAnsi="Arial" w:cs="Arial"/>
          <w:sz w:val="20"/>
          <w:szCs w:val="20"/>
        </w:rPr>
      </w:pPr>
      <w:r w:rsidRPr="00E47431">
        <w:rPr>
          <w:rFonts w:ascii="Arial" w:hAnsi="Arial" w:cs="Arial"/>
          <w:sz w:val="20"/>
          <w:szCs w:val="20"/>
        </w:rPr>
        <w:t>При зачислении подлежащих обособлению Ценных бумаг на торговые счета депо, субсчета депо, открытые к клиринговому счету депо клиента (в результате сделок или иных операций с Ценными бумагами), Депозитарий осуществляет обособление Ценных бумаг путем перевода Ценных бумаг на обособленный раздел счета депо «Основной» (</w:t>
      </w:r>
      <w:r w:rsidRPr="00E47431">
        <w:rPr>
          <w:rFonts w:ascii="Arial" w:hAnsi="Arial" w:cs="Arial"/>
          <w:sz w:val="20"/>
          <w:szCs w:val="20"/>
          <w:lang w:val="en-US"/>
        </w:rPr>
        <w:t>ML</w:t>
      </w:r>
      <w:r w:rsidRPr="00E47431">
        <w:rPr>
          <w:rFonts w:ascii="Arial" w:hAnsi="Arial" w:cs="Arial"/>
          <w:sz w:val="20"/>
          <w:szCs w:val="20"/>
        </w:rPr>
        <w:t>) в соответствии с пунктом 9 Порядка.</w:t>
      </w:r>
    </w:p>
    <w:p w:rsidR="00EE1653" w:rsidRPr="00E47431" w:rsidRDefault="00EE1653" w:rsidP="00EE1653">
      <w:pPr>
        <w:rPr>
          <w:rFonts w:ascii="Arial" w:hAnsi="Arial" w:cs="Arial"/>
          <w:sz w:val="20"/>
          <w:szCs w:val="20"/>
        </w:rPr>
      </w:pPr>
      <w:r w:rsidRPr="00E47431">
        <w:rPr>
          <w:rFonts w:ascii="Arial" w:hAnsi="Arial" w:cs="Arial"/>
          <w:sz w:val="20"/>
          <w:szCs w:val="20"/>
        </w:rPr>
        <w:t>Перевод Ценных бумаг на счет депо «Основной» клиента осуществляется Депозитарием на основании Поручения на внутридепозитарный перевод ценных бумаг (Приложение 1</w:t>
      </w:r>
      <w:r w:rsidR="000F28F2">
        <w:rPr>
          <w:rFonts w:ascii="Arial" w:hAnsi="Arial" w:cs="Arial"/>
          <w:sz w:val="20"/>
          <w:szCs w:val="20"/>
        </w:rPr>
        <w:t>1</w:t>
      </w:r>
      <w:r w:rsidRPr="00E47431">
        <w:rPr>
          <w:rFonts w:ascii="Arial" w:hAnsi="Arial" w:cs="Arial"/>
          <w:sz w:val="20"/>
          <w:szCs w:val="20"/>
        </w:rPr>
        <w:t xml:space="preserve"> Услови</w:t>
      </w:r>
      <w:r w:rsidR="00360C9F">
        <w:rPr>
          <w:rFonts w:ascii="Arial" w:hAnsi="Arial" w:cs="Arial"/>
          <w:sz w:val="20"/>
          <w:szCs w:val="20"/>
        </w:rPr>
        <w:t>й</w:t>
      </w:r>
      <w:r w:rsidRPr="00E47431">
        <w:rPr>
          <w:rFonts w:ascii="Arial" w:hAnsi="Arial" w:cs="Arial"/>
          <w:sz w:val="20"/>
          <w:szCs w:val="20"/>
        </w:rPr>
        <w:t>).</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spacing w:after="240"/>
        <w:jc w:val="both"/>
        <w:rPr>
          <w:rFonts w:ascii="Arial" w:hAnsi="Arial" w:cs="Arial"/>
          <w:sz w:val="20"/>
          <w:szCs w:val="20"/>
        </w:rPr>
      </w:pPr>
      <w:r w:rsidRPr="00E47431">
        <w:rPr>
          <w:rFonts w:ascii="Arial" w:hAnsi="Arial" w:cs="Arial"/>
          <w:sz w:val="20"/>
          <w:szCs w:val="20"/>
        </w:rPr>
        <w:t>9. Порядок действий при обособлении Ценных бумаг</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Способ фиксации ограничения распоряжения Ценными бумагами для каждого случая такого ограничения определяется депозитарным договором либо Условиями (пункты 5.12.1- 5.12.3 Условий осуществлений депозитарной деятельности Общества) с учетом настоящего Порядка.</w:t>
      </w:r>
    </w:p>
    <w:p w:rsidR="00EE1653" w:rsidRPr="00E47431" w:rsidRDefault="00EE1653" w:rsidP="00EE1653">
      <w:pPr>
        <w:tabs>
          <w:tab w:val="left" w:pos="709"/>
        </w:tabs>
        <w:autoSpaceDE w:val="0"/>
        <w:autoSpaceDN w:val="0"/>
        <w:adjustRightInd w:val="0"/>
        <w:spacing w:after="240"/>
        <w:jc w:val="both"/>
        <w:rPr>
          <w:rFonts w:ascii="Arial" w:hAnsi="Arial" w:cs="Arial"/>
          <w:sz w:val="20"/>
          <w:szCs w:val="20"/>
        </w:rPr>
      </w:pPr>
      <w:r w:rsidRPr="00E47431">
        <w:rPr>
          <w:rFonts w:ascii="Arial" w:hAnsi="Arial" w:cs="Arial"/>
          <w:sz w:val="20"/>
          <w:szCs w:val="20"/>
        </w:rPr>
        <w:t>9.1.</w:t>
      </w:r>
      <w:r w:rsidRPr="00E47431">
        <w:rPr>
          <w:rFonts w:ascii="Arial" w:hAnsi="Arial" w:cs="Arial"/>
          <w:sz w:val="20"/>
          <w:szCs w:val="20"/>
        </w:rPr>
        <w:tab/>
        <w:t>Фиксацией ограничения распоряжения ценными бумагами является операция, в результате совершения которой по счету депо вносится запись, означающая, что операции с ценными бумагами приостановлены, запрещены или ограничены на основании федерального закона, по решению Банка России или ином законном основании (на основании Указа) на определенный срок в связи с наступлением события для обособления.</w:t>
      </w:r>
    </w:p>
    <w:p w:rsidR="00EE1653" w:rsidRPr="00E47431" w:rsidRDefault="00EE1653" w:rsidP="00EE1653">
      <w:pPr>
        <w:spacing w:after="240"/>
        <w:jc w:val="both"/>
        <w:rPr>
          <w:rFonts w:ascii="Arial" w:hAnsi="Arial" w:cs="Arial"/>
          <w:sz w:val="20"/>
          <w:szCs w:val="20"/>
        </w:rPr>
      </w:pPr>
      <w:r w:rsidRPr="00E47431">
        <w:rPr>
          <w:rFonts w:ascii="Arial" w:hAnsi="Arial" w:cs="Arial"/>
          <w:sz w:val="20"/>
          <w:szCs w:val="20"/>
        </w:rPr>
        <w:t xml:space="preserve">При фиксации ограничения распоряжения ценными бумагами осуществляется перевод ценных бумаг на соответствующий раздел счета депо, субсчета депо.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Для каждого случая фиксации ограничения распоряжения ценными бумагами открывается отдельный раздел счета депо Депонента.</w:t>
      </w:r>
    </w:p>
    <w:p w:rsidR="00EE1653" w:rsidRPr="00E47431" w:rsidRDefault="00EE1653" w:rsidP="00EE1653">
      <w:pPr>
        <w:tabs>
          <w:tab w:val="left" w:pos="1134"/>
        </w:tabs>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Фиксация ограничения распоряжения ценными бумагами на основании Поручения на ограничение распоряжения/снятие ограничения распоряжения ценными бумагами (Приложение 1</w:t>
      </w:r>
      <w:r w:rsidR="00B41107">
        <w:rPr>
          <w:rFonts w:ascii="Arial" w:hAnsi="Arial" w:cs="Arial"/>
          <w:sz w:val="20"/>
          <w:szCs w:val="20"/>
        </w:rPr>
        <w:t>3</w:t>
      </w:r>
      <w:r w:rsidRPr="00E47431">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E47431">
        <w:rPr>
          <w:rFonts w:ascii="Arial" w:hAnsi="Arial" w:cs="Arial"/>
          <w:sz w:val="20"/>
          <w:szCs w:val="20"/>
        </w:rPr>
        <w:t>), составляемого Должностным лицом Депозитария, осуществляется в случаях, предусмотренных действующим законодательством Российской Федерации (Указа).</w:t>
      </w:r>
    </w:p>
    <w:p w:rsidR="00EE1653" w:rsidRPr="00A40E88" w:rsidRDefault="00EE1653" w:rsidP="00EE1653">
      <w:pPr>
        <w:tabs>
          <w:tab w:val="left" w:pos="1134"/>
        </w:tabs>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Решение об обособлении или решение об отсутствии необходимости обособления Ценных бумаг (вновь полученных или ранее не обособленных) оформляется Должностным лицом Депозитария в произвольной форме на </w:t>
      </w:r>
      <w:r w:rsidRPr="00A40E88">
        <w:rPr>
          <w:rFonts w:ascii="Arial" w:hAnsi="Arial" w:cs="Arial"/>
          <w:sz w:val="20"/>
          <w:szCs w:val="20"/>
        </w:rPr>
        <w:t xml:space="preserve">основании анализа Подтверждающих документов. </w:t>
      </w:r>
    </w:p>
    <w:p w:rsidR="00EE1653" w:rsidRPr="00E47431" w:rsidRDefault="00EE1653" w:rsidP="00EE1653">
      <w:pPr>
        <w:tabs>
          <w:tab w:val="left" w:pos="1134"/>
        </w:tabs>
        <w:autoSpaceDE w:val="0"/>
        <w:autoSpaceDN w:val="0"/>
        <w:adjustRightInd w:val="0"/>
        <w:spacing w:before="200" w:after="240"/>
        <w:jc w:val="both"/>
        <w:rPr>
          <w:rFonts w:ascii="Arial" w:hAnsi="Arial" w:cs="Arial"/>
          <w:sz w:val="20"/>
          <w:szCs w:val="20"/>
        </w:rPr>
      </w:pPr>
      <w:r w:rsidRPr="00A40E88">
        <w:rPr>
          <w:rFonts w:ascii="Arial" w:hAnsi="Arial" w:cs="Arial"/>
          <w:sz w:val="20"/>
          <w:szCs w:val="20"/>
        </w:rPr>
        <w:t>В случае принятия решении об обособлении ценных бумаг должностным лицом депозитария оформляется Поручение на ограничение распоряжения ценными бумагами.</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Депозитарий осуществляет фиксацию ограничения распоряжения Ценными бумагами </w:t>
      </w:r>
      <w:r w:rsidRPr="00E47431">
        <w:rPr>
          <w:rFonts w:ascii="Arial" w:hAnsi="Arial" w:cs="Arial"/>
          <w:i/>
          <w:sz w:val="20"/>
          <w:szCs w:val="20"/>
        </w:rPr>
        <w:t xml:space="preserve">в день проведения операции зачисления </w:t>
      </w:r>
      <w:r w:rsidRPr="00E47431">
        <w:rPr>
          <w:rFonts w:ascii="Arial" w:hAnsi="Arial" w:cs="Arial"/>
          <w:sz w:val="20"/>
          <w:szCs w:val="20"/>
        </w:rPr>
        <w:t>Ценных бумаг на счет депо депонента.</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B41107">
        <w:rPr>
          <w:rFonts w:ascii="Arial" w:hAnsi="Arial" w:cs="Arial"/>
          <w:sz w:val="20"/>
          <w:szCs w:val="20"/>
        </w:rPr>
        <w:t xml:space="preserve">Завершением депозитарной операции по фиксации ограничения распоряжения Ценными бумагами является передача Инициатору операции (Должностному лицу Депозитария) и Депоненту Отчета о совершенной операции (Приложение </w:t>
      </w:r>
      <w:r w:rsidR="00B41107">
        <w:rPr>
          <w:rFonts w:ascii="Arial" w:hAnsi="Arial" w:cs="Arial"/>
          <w:sz w:val="20"/>
          <w:szCs w:val="20"/>
        </w:rPr>
        <w:t>16</w:t>
      </w:r>
      <w:r w:rsidRPr="00B41107">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B41107">
        <w:rPr>
          <w:rFonts w:ascii="Arial" w:hAnsi="Arial" w:cs="Arial"/>
          <w:sz w:val="20"/>
          <w:szCs w:val="20"/>
        </w:rPr>
        <w:t>).</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9.2.</w:t>
      </w:r>
      <w:r w:rsidRPr="00E47431">
        <w:rPr>
          <w:rFonts w:ascii="Arial" w:hAnsi="Arial" w:cs="Arial"/>
          <w:sz w:val="20"/>
          <w:szCs w:val="20"/>
        </w:rPr>
        <w:tab/>
        <w:t xml:space="preserve">Фиксацией снятия ограничения операций с ценными бумагами является операция, в результате совершения которой по счету депо (счету) вносится запись (записи), свидетельствующая о том, что с операций с ценными бумагами снято ограничение, установленное в соответствии с требованиями законодательства Российской Федерации.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При снятии ограничения распоряжения ценными бумагами производится перевод (возврат) ценных бумаг с соответствующего раздела счета депо, субсчета депо. Раздел закрывается после списания с него ценных бумаг.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Фиксация снятия ограничения распоряжения ценными бумагами осуществляются по тому же счету депо, по которому осуществлялась фиксация ограничения распоряжения ценными бумагами.</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Операция снятия ограничений с операций с ценными бумагами осуществляется на основании Поручения на снятие ограничения на распоряжение ценными бумагами (Приложение 1</w:t>
      </w:r>
      <w:r w:rsidR="009446AA">
        <w:rPr>
          <w:rFonts w:ascii="Arial" w:hAnsi="Arial" w:cs="Arial"/>
          <w:sz w:val="20"/>
          <w:szCs w:val="20"/>
        </w:rPr>
        <w:t>3</w:t>
      </w:r>
      <w:r w:rsidRPr="00E47431">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E47431">
        <w:rPr>
          <w:rFonts w:ascii="Arial" w:hAnsi="Arial" w:cs="Arial"/>
          <w:sz w:val="20"/>
          <w:szCs w:val="20"/>
        </w:rPr>
        <w:t xml:space="preserve">), составляемого Должностным лицом Депозитария, и осуществляется в случаях, предусмотренных действующим законодательством Российской Федерации (Указом, Решением **).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Такая операция осуществляется </w:t>
      </w:r>
      <w:r w:rsidRPr="00E47431">
        <w:rPr>
          <w:rFonts w:ascii="Arial" w:hAnsi="Arial" w:cs="Arial"/>
          <w:b/>
          <w:sz w:val="20"/>
          <w:szCs w:val="20"/>
        </w:rPr>
        <w:t>после</w:t>
      </w:r>
      <w:r w:rsidRPr="00E47431">
        <w:rPr>
          <w:rFonts w:ascii="Arial" w:hAnsi="Arial" w:cs="Arial"/>
          <w:sz w:val="20"/>
          <w:szCs w:val="20"/>
        </w:rPr>
        <w:t xml:space="preserve"> оформления Должностным лицом Депозитария </w:t>
      </w:r>
      <w:r w:rsidRPr="00E47431">
        <w:rPr>
          <w:rFonts w:ascii="Arial" w:hAnsi="Arial" w:cs="Arial"/>
          <w:i/>
          <w:sz w:val="20"/>
          <w:szCs w:val="20"/>
        </w:rPr>
        <w:t>Решения о прекращении обособленного учета Ценных бумаг</w:t>
      </w:r>
      <w:r w:rsidRPr="00E47431">
        <w:rPr>
          <w:rFonts w:ascii="Arial" w:hAnsi="Arial" w:cs="Arial"/>
          <w:sz w:val="20"/>
          <w:szCs w:val="20"/>
        </w:rPr>
        <w:t xml:space="preserve"> по Форме №1.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Депозитарий осуществляет операцию снятия ограничения с операций с ценными бумагами </w:t>
      </w:r>
      <w:r w:rsidRPr="00E47431">
        <w:rPr>
          <w:rFonts w:ascii="Arial" w:hAnsi="Arial" w:cs="Arial"/>
          <w:b/>
          <w:sz w:val="20"/>
          <w:szCs w:val="20"/>
        </w:rPr>
        <w:t xml:space="preserve">не ранее шестого </w:t>
      </w:r>
      <w:r w:rsidR="002F4C35" w:rsidRPr="002F4C35">
        <w:rPr>
          <w:rFonts w:ascii="Arial" w:hAnsi="Arial" w:cs="Arial"/>
          <w:sz w:val="20"/>
          <w:szCs w:val="20"/>
        </w:rPr>
        <w:t>о</w:t>
      </w:r>
      <w:r w:rsidRPr="00E47431">
        <w:rPr>
          <w:rFonts w:ascii="Arial" w:hAnsi="Arial" w:cs="Arial"/>
          <w:sz w:val="20"/>
          <w:szCs w:val="20"/>
        </w:rPr>
        <w:t>перационного дня (часть 2 пункта 1.7 Решения **) со дня направления в Банк России предусмотренного пунктом 1.12 Решения** Уведомления о принятии Решения о прекращении обособленного учета Ценных бумаг. День направления такого Уведомления считается нулевым днем для расчета срока.</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Завершением депозитарной операции снятия ограничения операций с ценными бумагами является передача Инициатору операции (Должностному лицу Депозитария) и Депоненту Отчета о совершенной операции (Приложение </w:t>
      </w:r>
      <w:r w:rsidR="009446AA">
        <w:rPr>
          <w:rFonts w:ascii="Arial" w:hAnsi="Arial" w:cs="Arial"/>
          <w:sz w:val="20"/>
          <w:szCs w:val="20"/>
        </w:rPr>
        <w:t>16</w:t>
      </w:r>
      <w:r w:rsidRPr="00E47431">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E47431">
        <w:rPr>
          <w:rFonts w:ascii="Arial" w:hAnsi="Arial" w:cs="Arial"/>
          <w:sz w:val="20"/>
          <w:szCs w:val="20"/>
        </w:rPr>
        <w:t>).</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10. Порядок действий при прекращении учета прав на обособленные/необособленные ценные бумаги </w:t>
      </w:r>
    </w:p>
    <w:p w:rsidR="00EE1653" w:rsidRPr="00E47431" w:rsidRDefault="00EE1653" w:rsidP="00EE1653">
      <w:pPr>
        <w:autoSpaceDE w:val="0"/>
        <w:autoSpaceDN w:val="0"/>
        <w:adjustRightInd w:val="0"/>
        <w:spacing w:after="240"/>
        <w:jc w:val="both"/>
        <w:rPr>
          <w:rFonts w:ascii="Arial" w:hAnsi="Arial" w:cs="Arial"/>
          <w:strike/>
          <w:sz w:val="20"/>
          <w:szCs w:val="20"/>
        </w:rPr>
      </w:pPr>
      <w:r w:rsidRPr="00E47431">
        <w:rPr>
          <w:rFonts w:ascii="Arial" w:hAnsi="Arial" w:cs="Arial"/>
          <w:sz w:val="20"/>
          <w:szCs w:val="20"/>
        </w:rPr>
        <w:t>10.1.</w:t>
      </w:r>
      <w:r w:rsidRPr="00E47431">
        <w:rPr>
          <w:rFonts w:ascii="Arial" w:hAnsi="Arial" w:cs="Arial"/>
          <w:sz w:val="20"/>
          <w:szCs w:val="20"/>
        </w:rPr>
        <w:tab/>
        <w:t>Депозитарий в случае прекращения им учета прав на обособленные/необособленные Ценные бумаги не позднее дня передачи Ценных бумаг направляет депозитарию (регистратору), которому передаются для учета прав указанные Ценные бумаги, одно из уведомлений (по Форме 2, Форме 3, Форме 4) в соответствии с пунктом 1.9 Решения **:</w:t>
      </w:r>
    </w:p>
    <w:p w:rsidR="00EE1653" w:rsidRPr="00E47431" w:rsidRDefault="00EE1653" w:rsidP="00EE1653">
      <w:pPr>
        <w:pStyle w:val="ae"/>
        <w:numPr>
          <w:ilvl w:val="0"/>
          <w:numId w:val="6"/>
        </w:numPr>
        <w:autoSpaceDE w:val="0"/>
        <w:autoSpaceDN w:val="0"/>
        <w:adjustRightInd w:val="0"/>
        <w:spacing w:after="240"/>
        <w:ind w:left="142" w:hanging="142"/>
        <w:jc w:val="both"/>
        <w:rPr>
          <w:rFonts w:ascii="Arial" w:hAnsi="Arial" w:cs="Arial"/>
          <w:sz w:val="20"/>
          <w:szCs w:val="20"/>
        </w:rPr>
      </w:pPr>
      <w:r w:rsidRPr="00E47431">
        <w:rPr>
          <w:rFonts w:ascii="Arial" w:hAnsi="Arial" w:cs="Arial"/>
          <w:sz w:val="20"/>
          <w:szCs w:val="20"/>
        </w:rPr>
        <w:t>Заверение о необходимости ведения обособленного учета,</w:t>
      </w:r>
    </w:p>
    <w:p w:rsidR="00EE1653" w:rsidRPr="00E47431" w:rsidRDefault="00EE1653" w:rsidP="00EE1653">
      <w:pPr>
        <w:pStyle w:val="ae"/>
        <w:numPr>
          <w:ilvl w:val="0"/>
          <w:numId w:val="6"/>
        </w:numPr>
        <w:autoSpaceDE w:val="0"/>
        <w:autoSpaceDN w:val="0"/>
        <w:adjustRightInd w:val="0"/>
        <w:spacing w:after="240"/>
        <w:ind w:left="142" w:hanging="142"/>
        <w:jc w:val="both"/>
        <w:rPr>
          <w:rFonts w:ascii="Arial" w:hAnsi="Arial" w:cs="Arial"/>
          <w:sz w:val="20"/>
          <w:szCs w:val="20"/>
        </w:rPr>
      </w:pPr>
      <w:r w:rsidRPr="00E47431">
        <w:rPr>
          <w:rFonts w:ascii="Arial" w:hAnsi="Arial" w:cs="Arial"/>
          <w:sz w:val="20"/>
          <w:szCs w:val="20"/>
        </w:rPr>
        <w:t>Уведомление о непроведении проверки,</w:t>
      </w:r>
    </w:p>
    <w:p w:rsidR="00EE1653" w:rsidRPr="00E47431" w:rsidRDefault="00EE1653" w:rsidP="00EE1653">
      <w:pPr>
        <w:pStyle w:val="ae"/>
        <w:numPr>
          <w:ilvl w:val="0"/>
          <w:numId w:val="6"/>
        </w:numPr>
        <w:autoSpaceDE w:val="0"/>
        <w:autoSpaceDN w:val="0"/>
        <w:adjustRightInd w:val="0"/>
        <w:spacing w:after="240"/>
        <w:ind w:left="142" w:hanging="142"/>
        <w:jc w:val="both"/>
        <w:rPr>
          <w:rFonts w:ascii="Arial" w:hAnsi="Arial" w:cs="Arial"/>
          <w:sz w:val="20"/>
          <w:szCs w:val="20"/>
        </w:rPr>
      </w:pPr>
      <w:r w:rsidRPr="00E47431">
        <w:rPr>
          <w:rFonts w:ascii="Arial" w:hAnsi="Arial" w:cs="Arial"/>
          <w:sz w:val="20"/>
          <w:szCs w:val="20"/>
        </w:rPr>
        <w:t>Заверение об отсутствии оснований для ведения обособленного учета.</w:t>
      </w:r>
    </w:p>
    <w:p w:rsidR="00EE1653"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u w:val="single"/>
        </w:rPr>
        <w:t>Для НКО АО НРД</w:t>
      </w:r>
      <w:r w:rsidRPr="00E47431">
        <w:rPr>
          <w:rFonts w:ascii="Arial" w:hAnsi="Arial" w:cs="Arial"/>
          <w:sz w:val="20"/>
          <w:szCs w:val="20"/>
        </w:rPr>
        <w:t xml:space="preserve"> – Депозитарий подтверждает, что им выполнены все требования по обособленному учету ценных бумаг предоставлением таких заверений (уведомлений) в НКО АО НРД путем указания в Поручении в поле «Дополнительная информация» одного из специальных кодов НКО АО НРД об обособленном учёте.</w:t>
      </w:r>
    </w:p>
    <w:p w:rsidR="00C81A25" w:rsidRPr="00C81A25" w:rsidRDefault="00C81A25" w:rsidP="00C81A25">
      <w:pPr>
        <w:autoSpaceDE w:val="0"/>
        <w:autoSpaceDN w:val="0"/>
        <w:adjustRightInd w:val="0"/>
        <w:spacing w:after="240"/>
        <w:jc w:val="both"/>
        <w:rPr>
          <w:rFonts w:ascii="Arial" w:hAnsi="Arial" w:cs="Arial"/>
          <w:sz w:val="20"/>
          <w:szCs w:val="20"/>
        </w:rPr>
      </w:pPr>
      <w:r w:rsidRPr="00C81A25">
        <w:rPr>
          <w:rFonts w:ascii="Arial" w:hAnsi="Arial" w:cs="Arial"/>
          <w:sz w:val="20"/>
          <w:szCs w:val="20"/>
        </w:rPr>
        <w:t>Депозитарий (также передающий депозитарий (регистратор))</w:t>
      </w:r>
      <w:r>
        <w:rPr>
          <w:rFonts w:ascii="Arial" w:hAnsi="Arial" w:cs="Arial"/>
          <w:sz w:val="20"/>
          <w:szCs w:val="20"/>
        </w:rPr>
        <w:t xml:space="preserve"> </w:t>
      </w:r>
      <w:r w:rsidRPr="00C81A25">
        <w:rPr>
          <w:rFonts w:ascii="Arial" w:hAnsi="Arial" w:cs="Arial"/>
          <w:sz w:val="20"/>
          <w:szCs w:val="20"/>
        </w:rPr>
        <w:t xml:space="preserve">в качестве Заверения может использовать специальные коды НКО АО НРД о статусе ценных бумаг, указываемые в Поручении в поле «Дополнительная информация». Такой способ предоставления Заверений Депозитарий считает возможным, если он согласован с принимающим/передающим депозитарием (регистратором).  </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r w:rsidRPr="00E47431">
        <w:rPr>
          <w:rFonts w:ascii="Arial" w:hAnsi="Arial" w:cs="Arial"/>
          <w:sz w:val="20"/>
          <w:szCs w:val="20"/>
        </w:rPr>
        <w:t>10.2.</w:t>
      </w:r>
      <w:r w:rsidRPr="00E47431">
        <w:rPr>
          <w:rFonts w:ascii="Arial" w:hAnsi="Arial" w:cs="Arial"/>
          <w:sz w:val="20"/>
          <w:szCs w:val="20"/>
        </w:rPr>
        <w:tab/>
        <w:t xml:space="preserve">В целях обеспечения обособленного учета Ценных бумаг Депозитарий присваивает каждой операции </w:t>
      </w:r>
      <w:r w:rsidRPr="00E47431">
        <w:rPr>
          <w:rFonts w:ascii="Arial" w:hAnsi="Arial" w:cs="Arial"/>
          <w:b/>
          <w:sz w:val="20"/>
          <w:szCs w:val="20"/>
        </w:rPr>
        <w:t xml:space="preserve">списания обособленных </w:t>
      </w:r>
      <w:r w:rsidRPr="00E47431">
        <w:rPr>
          <w:rFonts w:ascii="Arial" w:hAnsi="Arial" w:cs="Arial"/>
          <w:sz w:val="20"/>
          <w:szCs w:val="20"/>
        </w:rPr>
        <w:t>Ценных бумаг уникальный идентификационный номер операции (далее - УИН операции).</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r w:rsidRPr="00E47431">
        <w:rPr>
          <w:rFonts w:ascii="Arial" w:hAnsi="Arial" w:cs="Arial"/>
          <w:sz w:val="20"/>
          <w:szCs w:val="20"/>
        </w:rPr>
        <w:t>УИН операции определяется в соответствии с пунктом 1.8 Решения** и обязательно указывается для другого принимающего депозитария (регистратора) по правилам пункта 1.9 Решения**.</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r w:rsidRPr="00E47431">
        <w:rPr>
          <w:rFonts w:ascii="Arial" w:hAnsi="Arial" w:cs="Arial"/>
          <w:sz w:val="20"/>
          <w:szCs w:val="20"/>
          <w:u w:val="single"/>
        </w:rPr>
        <w:t>Для НКО АО НРД</w:t>
      </w:r>
      <w:r w:rsidRPr="00E47431">
        <w:rPr>
          <w:rFonts w:ascii="Arial" w:hAnsi="Arial" w:cs="Arial"/>
          <w:sz w:val="20"/>
          <w:szCs w:val="20"/>
        </w:rPr>
        <w:t xml:space="preserve"> - в Письме с темой «УИН» в виде нетипизированного электронного документа с указанием кода получателя </w:t>
      </w:r>
      <w:r w:rsidRPr="00E47431">
        <w:rPr>
          <w:rFonts w:ascii="Arial" w:hAnsi="Arial" w:cs="Arial"/>
          <w:sz w:val="20"/>
          <w:szCs w:val="20"/>
          <w:lang w:val="en-US"/>
        </w:rPr>
        <w:t>NDC</w:t>
      </w:r>
      <w:r w:rsidRPr="00E47431">
        <w:rPr>
          <w:rFonts w:ascii="Arial" w:hAnsi="Arial" w:cs="Arial"/>
          <w:sz w:val="20"/>
          <w:szCs w:val="20"/>
        </w:rPr>
        <w:t>000</w:t>
      </w:r>
      <w:r w:rsidRPr="00E47431">
        <w:rPr>
          <w:rFonts w:ascii="Arial" w:hAnsi="Arial" w:cs="Arial"/>
          <w:sz w:val="20"/>
          <w:szCs w:val="20"/>
          <w:lang w:val="en-US"/>
        </w:rPr>
        <w:t>ORK</w:t>
      </w:r>
      <w:r w:rsidRPr="00E47431">
        <w:rPr>
          <w:rFonts w:ascii="Arial" w:hAnsi="Arial" w:cs="Arial"/>
          <w:sz w:val="20"/>
          <w:szCs w:val="20"/>
        </w:rPr>
        <w:t xml:space="preserve">000. </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p>
    <w:p w:rsidR="00EE1653" w:rsidRPr="00E47431" w:rsidRDefault="00EE1653" w:rsidP="00EE1653">
      <w:pPr>
        <w:pStyle w:val="ae"/>
        <w:autoSpaceDE w:val="0"/>
        <w:autoSpaceDN w:val="0"/>
        <w:adjustRightInd w:val="0"/>
        <w:spacing w:before="200" w:after="240"/>
        <w:ind w:left="0"/>
        <w:jc w:val="both"/>
        <w:rPr>
          <w:rFonts w:ascii="Arial" w:hAnsi="Arial" w:cs="Arial"/>
          <w:sz w:val="20"/>
          <w:szCs w:val="20"/>
        </w:rPr>
      </w:pPr>
      <w:r w:rsidRPr="00E47431">
        <w:rPr>
          <w:rFonts w:ascii="Arial" w:hAnsi="Arial" w:cs="Arial"/>
          <w:sz w:val="20"/>
          <w:szCs w:val="20"/>
        </w:rPr>
        <w:t>10.3.</w:t>
      </w:r>
      <w:r w:rsidRPr="00E47431">
        <w:rPr>
          <w:rFonts w:ascii="Arial" w:hAnsi="Arial" w:cs="Arial"/>
          <w:sz w:val="20"/>
          <w:szCs w:val="20"/>
        </w:rPr>
        <w:tab/>
        <w:t xml:space="preserve">Депозитарий после получения поручения на списание Ценных бумаг со счета депо, не являющегося счетом депо номинального держателя, в целях их зачисления на открытый в другом депозитарии (открытый регистратором) счет депо (лицевой счет), не являющийся счетом депо номинального держателя (лицевым счетом номинального держателя, лицевым счетом номинального держателя центрального депозитария), </w:t>
      </w:r>
      <w:r w:rsidRPr="00E47431">
        <w:rPr>
          <w:rFonts w:ascii="Arial" w:hAnsi="Arial" w:cs="Arial"/>
          <w:b/>
          <w:sz w:val="20"/>
          <w:szCs w:val="20"/>
        </w:rPr>
        <w:t>в том числе без перехода прав</w:t>
      </w:r>
      <w:r w:rsidRPr="00E47431">
        <w:rPr>
          <w:rFonts w:ascii="Arial" w:hAnsi="Arial" w:cs="Arial"/>
          <w:sz w:val="20"/>
          <w:szCs w:val="20"/>
        </w:rPr>
        <w:t xml:space="preserve"> на такие ценные бумаги, может исполнить полученное поручение </w:t>
      </w:r>
      <w:r w:rsidRPr="00E47431">
        <w:rPr>
          <w:rFonts w:ascii="Arial" w:hAnsi="Arial" w:cs="Arial"/>
          <w:b/>
          <w:sz w:val="20"/>
          <w:szCs w:val="20"/>
        </w:rPr>
        <w:t xml:space="preserve">не ранее шестого </w:t>
      </w:r>
      <w:r w:rsidR="002F4C35">
        <w:rPr>
          <w:rFonts w:ascii="Arial" w:hAnsi="Arial" w:cs="Arial"/>
          <w:sz w:val="20"/>
          <w:szCs w:val="20"/>
        </w:rPr>
        <w:t>о</w:t>
      </w:r>
      <w:r w:rsidRPr="00E47431">
        <w:rPr>
          <w:rFonts w:ascii="Arial" w:hAnsi="Arial" w:cs="Arial"/>
          <w:sz w:val="20"/>
          <w:szCs w:val="20"/>
        </w:rPr>
        <w:t>перационного дня (часть 2 пункта 1.7 Решения **) со дня направления в Банк России предусмотренного пунктом 1.12 Решения** Уведомления о получении поручения на списание обособленных Ценных бумаг. День направления такого Уведомления считается нулевым днем для расчета срока.</w:t>
      </w: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10.4.</w:t>
      </w:r>
      <w:r w:rsidRPr="00E47431">
        <w:rPr>
          <w:rFonts w:ascii="Arial" w:hAnsi="Arial" w:cs="Arial"/>
          <w:sz w:val="20"/>
          <w:szCs w:val="20"/>
        </w:rPr>
        <w:tab/>
        <w:t>Поручение на проведение такой операции должно обязательно содержать полное или сокращенное (при наличии) наименование и ИНН депозитария (регистратора), на открытый в котором счет депо (лицевой счет) должны быть зачислены Ценные бумаги.</w:t>
      </w:r>
    </w:p>
    <w:p w:rsidR="00EE1653" w:rsidRPr="00E47431" w:rsidRDefault="00EE1653" w:rsidP="00EE1653">
      <w:pPr>
        <w:autoSpaceDE w:val="0"/>
        <w:autoSpaceDN w:val="0"/>
        <w:adjustRightInd w:val="0"/>
        <w:spacing w:after="240"/>
        <w:jc w:val="both"/>
        <w:rPr>
          <w:rFonts w:ascii="Arial" w:hAnsi="Arial" w:cs="Arial"/>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11. Порядок действий при получении Депозитарием запроса от депозитария (регистратора), которому передаются для учета прав ценные бумаги, подлежащие обособленному учету, и который вправе запросить у депозитария (регистратора), который передает ему для учета прав указанные ценные бумаги, дополнительную информацию и документы в отношении передаваемых ценных бумаг</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Депозитарий в случае получения запроса о предоставлении дополнительной информации и документов в отношении передаваемых ценных бумаг в срок, не превышающий пяти рабочих дней, направляет депозитарию (регистратору), которому передаются для учета прав на них ценные бумаги, подлежащие обособленному учету, запрошенную информацию и документы, либо сообщает об отсутствии у него запрошенных документов и информации (пункт 1.19 Решения**).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Это же правило действует и для Депозитария при получении им Ценных бумаг.</w:t>
      </w:r>
    </w:p>
    <w:p w:rsidR="00EE1653" w:rsidRPr="00E47431" w:rsidRDefault="00EE1653" w:rsidP="00EE1653">
      <w:pPr>
        <w:autoSpaceDE w:val="0"/>
        <w:autoSpaceDN w:val="0"/>
        <w:adjustRightInd w:val="0"/>
        <w:spacing w:before="160" w:after="240"/>
        <w:jc w:val="both"/>
        <w:rPr>
          <w:rFonts w:ascii="Arial" w:hAnsi="Arial" w:cs="Arial"/>
          <w:sz w:val="20"/>
          <w:szCs w:val="20"/>
        </w:rPr>
      </w:pPr>
      <w:r w:rsidRPr="00E47431">
        <w:rPr>
          <w:rFonts w:ascii="Arial" w:hAnsi="Arial" w:cs="Arial"/>
          <w:sz w:val="20"/>
          <w:szCs w:val="20"/>
        </w:rPr>
        <w:t>12. Депозитарий хранит все документы, связанные с обеспечением (прекращением) обособленного учета ценных бумаг, включая предоставленные зарегистрированными лицами, депозитариями (регистраторами), не менее пяти лет с даты прекращения обеспечения им обособленного учета ценных бумаг (даты прекращения им учета прав на обособленные ценные бумаги) (пункт 1.20 Решения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13. Информация о необходимости Подтверждающих документов и требованиям к ним доводится до депонентов путем размещения на сайте Общества.</w:t>
      </w:r>
    </w:p>
    <w:p w:rsidR="00EE1653"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w:t>
      </w:r>
      <w:r w:rsidR="002D153E">
        <w:rPr>
          <w:rFonts w:ascii="Arial" w:hAnsi="Arial" w:cs="Arial"/>
          <w:sz w:val="20"/>
          <w:szCs w:val="20"/>
        </w:rPr>
        <w:t>4</w:t>
      </w:r>
      <w:r w:rsidRPr="00E47431">
        <w:rPr>
          <w:rFonts w:ascii="Arial" w:hAnsi="Arial" w:cs="Arial"/>
          <w:sz w:val="20"/>
          <w:szCs w:val="20"/>
        </w:rPr>
        <w:t xml:space="preserve">. Меры по обеспечению обособленного учета действуют до прекращения оснований его осуществления или до отмены установленных Указом дополнительных временных мер, в зависимости от того, что наступит ранее. В случае изменений требований законодательства Российской Федерации настоящий Порядок до момента его изменения действует в части, не противоречащей действующему законодательству, на момент его применения. </w:t>
      </w:r>
    </w:p>
    <w:p w:rsidR="00EB55E3" w:rsidRPr="00CE0AD5" w:rsidRDefault="00EB55E3" w:rsidP="00EB55E3">
      <w:pPr>
        <w:autoSpaceDE w:val="0"/>
        <w:autoSpaceDN w:val="0"/>
        <w:adjustRightInd w:val="0"/>
        <w:spacing w:after="240"/>
        <w:jc w:val="both"/>
        <w:rPr>
          <w:rFonts w:ascii="Arial" w:hAnsi="Arial" w:cs="Arial"/>
          <w:sz w:val="20"/>
          <w:szCs w:val="20"/>
        </w:rPr>
      </w:pPr>
      <w:r>
        <w:rPr>
          <w:rFonts w:ascii="Arial" w:hAnsi="Arial" w:cs="Arial"/>
          <w:sz w:val="20"/>
          <w:szCs w:val="20"/>
        </w:rPr>
        <w:t>1</w:t>
      </w:r>
      <w:r w:rsidR="002D153E">
        <w:rPr>
          <w:rFonts w:ascii="Arial" w:hAnsi="Arial" w:cs="Arial"/>
          <w:sz w:val="20"/>
          <w:szCs w:val="20"/>
        </w:rPr>
        <w:t>5</w:t>
      </w:r>
      <w:r>
        <w:rPr>
          <w:rFonts w:ascii="Arial" w:hAnsi="Arial" w:cs="Arial"/>
          <w:sz w:val="20"/>
          <w:szCs w:val="20"/>
        </w:rPr>
        <w:t xml:space="preserve">. </w:t>
      </w:r>
      <w:r w:rsidRPr="00CE0AD5">
        <w:rPr>
          <w:rFonts w:ascii="Arial" w:hAnsi="Arial" w:cs="Arial"/>
          <w:sz w:val="20"/>
          <w:szCs w:val="20"/>
        </w:rPr>
        <w:t>Действия Депозитария при нарушениях Решения**, выполняемые в рамках пунк</w:t>
      </w:r>
      <w:r>
        <w:rPr>
          <w:rFonts w:ascii="Arial" w:hAnsi="Arial" w:cs="Arial"/>
          <w:sz w:val="20"/>
          <w:szCs w:val="20"/>
        </w:rPr>
        <w:t>та 1.10 и пункта 1.11 Решения**.</w:t>
      </w:r>
    </w:p>
    <w:p w:rsidR="00EB55E3" w:rsidRPr="00CE0AD5" w:rsidRDefault="00EB55E3" w:rsidP="00EB55E3">
      <w:pPr>
        <w:pStyle w:val="ae"/>
        <w:numPr>
          <w:ilvl w:val="0"/>
          <w:numId w:val="8"/>
        </w:numPr>
        <w:tabs>
          <w:tab w:val="left" w:pos="284"/>
        </w:tabs>
        <w:autoSpaceDE w:val="0"/>
        <w:autoSpaceDN w:val="0"/>
        <w:adjustRightInd w:val="0"/>
        <w:ind w:left="0" w:firstLine="0"/>
        <w:jc w:val="both"/>
        <w:rPr>
          <w:rFonts w:ascii="Arial" w:hAnsi="Arial" w:cs="Arial"/>
          <w:sz w:val="20"/>
          <w:szCs w:val="20"/>
        </w:rPr>
      </w:pPr>
      <w:r w:rsidRPr="00CE0AD5">
        <w:rPr>
          <w:rFonts w:ascii="Arial" w:hAnsi="Arial" w:cs="Arial"/>
          <w:sz w:val="20"/>
          <w:szCs w:val="20"/>
        </w:rPr>
        <w:t xml:space="preserve">В случае передачи Депозитарием ценных бумаг для учета прав без направления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Депозитарий </w:t>
      </w:r>
      <w:r w:rsidRPr="00CE0AD5">
        <w:rPr>
          <w:rFonts w:ascii="Arial" w:hAnsi="Arial" w:cs="Arial"/>
          <w:b/>
          <w:sz w:val="20"/>
          <w:szCs w:val="20"/>
        </w:rPr>
        <w:t>не позднее дня выявления</w:t>
      </w:r>
      <w:r w:rsidRPr="00CE0AD5">
        <w:rPr>
          <w:rFonts w:ascii="Arial" w:hAnsi="Arial" w:cs="Arial"/>
          <w:sz w:val="20"/>
          <w:szCs w:val="20"/>
        </w:rPr>
        <w:t xml:space="preserve"> неисполнения требований </w:t>
      </w:r>
      <w:hyperlink r:id="rId15" w:history="1">
        <w:r w:rsidRPr="00CE0AD5">
          <w:rPr>
            <w:rFonts w:ascii="Arial" w:hAnsi="Arial" w:cs="Arial"/>
            <w:sz w:val="20"/>
            <w:szCs w:val="20"/>
          </w:rPr>
          <w:t>пункта 1.9</w:t>
        </w:r>
      </w:hyperlink>
      <w:r w:rsidRPr="00CE0AD5">
        <w:rPr>
          <w:rFonts w:ascii="Arial" w:hAnsi="Arial" w:cs="Arial"/>
          <w:sz w:val="20"/>
          <w:szCs w:val="20"/>
        </w:rPr>
        <w:t xml:space="preserve"> Решения** направляет указанное Заверение (Уведомление) депозитарию (регистратору), которому переданы ценные бумаги, а также уведомление в Банк России о нарушении требований </w:t>
      </w:r>
      <w:hyperlink r:id="rId16" w:history="1">
        <w:r w:rsidRPr="00CE0AD5">
          <w:rPr>
            <w:rFonts w:ascii="Arial" w:hAnsi="Arial" w:cs="Arial"/>
            <w:sz w:val="20"/>
            <w:szCs w:val="20"/>
          </w:rPr>
          <w:t>пункта 1.9</w:t>
        </w:r>
      </w:hyperlink>
      <w:r w:rsidRPr="00CE0AD5">
        <w:rPr>
          <w:rFonts w:ascii="Arial" w:hAnsi="Arial" w:cs="Arial"/>
          <w:sz w:val="20"/>
          <w:szCs w:val="20"/>
        </w:rPr>
        <w:t xml:space="preserve"> Решения**, содержащее следующую информацию:</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дата прекращения учета прав на ценные бумаги, в отношении которых депозитарием не было направлено Заверение о необходимости ведения обособленного учета (Уведомление о непроведении проверки, Заверение об отсутствии оснований для ведения обособленного учета);</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и ИНН депозитария (регистратора), которому переданы ценные бумаги для учета прав;</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(фамилия, имя, отчество (при наличии) депонента (зарегистрированного лица, эмитента, лица, обязанного по ценным бумагам), со счета депо которого были списаны ценные бумаги;</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ISIN (регистрационный номер) ценных бумаг, переданных для учета прав;</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количество ценных бумаг, переданных для учета прав;</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УИН операции (в случае присвоения УИН операции).</w:t>
      </w:r>
    </w:p>
    <w:p w:rsidR="00EB55E3" w:rsidRPr="00CE0AD5" w:rsidRDefault="00EB55E3" w:rsidP="00EB55E3">
      <w:pPr>
        <w:tabs>
          <w:tab w:val="left" w:pos="284"/>
        </w:tabs>
        <w:autoSpaceDE w:val="0"/>
        <w:autoSpaceDN w:val="0"/>
        <w:adjustRightInd w:val="0"/>
        <w:spacing w:before="180"/>
        <w:jc w:val="both"/>
        <w:rPr>
          <w:rFonts w:ascii="Arial" w:hAnsi="Arial" w:cs="Arial"/>
          <w:sz w:val="20"/>
          <w:szCs w:val="20"/>
        </w:rPr>
      </w:pPr>
      <w:r w:rsidRPr="00CE0AD5">
        <w:rPr>
          <w:rFonts w:ascii="Arial" w:hAnsi="Arial" w:cs="Arial"/>
          <w:sz w:val="20"/>
          <w:szCs w:val="20"/>
        </w:rPr>
        <w:t xml:space="preserve">2. Депозитарий, при передаче ему ценных бумаг для учета прав, в случае непредставления ему депозитарием (регистратором), передавшим ценные бумаги для учета прав,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w:t>
      </w:r>
      <w:r w:rsidRPr="00CE0AD5">
        <w:rPr>
          <w:rFonts w:ascii="Arial" w:hAnsi="Arial" w:cs="Arial"/>
          <w:b/>
          <w:sz w:val="20"/>
          <w:szCs w:val="20"/>
        </w:rPr>
        <w:t>не позднее дня</w:t>
      </w:r>
      <w:r w:rsidRPr="00CE0AD5">
        <w:rPr>
          <w:rFonts w:ascii="Arial" w:hAnsi="Arial" w:cs="Arial"/>
          <w:sz w:val="20"/>
          <w:szCs w:val="20"/>
        </w:rPr>
        <w:t xml:space="preserve">, следующего </w:t>
      </w:r>
      <w:r w:rsidRPr="00CE0AD5">
        <w:rPr>
          <w:rFonts w:ascii="Arial" w:hAnsi="Arial" w:cs="Arial"/>
          <w:b/>
          <w:sz w:val="20"/>
          <w:szCs w:val="20"/>
        </w:rPr>
        <w:t xml:space="preserve">за днем внесения </w:t>
      </w:r>
      <w:r w:rsidRPr="00CE0AD5">
        <w:rPr>
          <w:rFonts w:ascii="Arial" w:hAnsi="Arial" w:cs="Arial"/>
          <w:sz w:val="20"/>
          <w:szCs w:val="20"/>
        </w:rPr>
        <w:t xml:space="preserve">Депозитарием </w:t>
      </w:r>
      <w:r w:rsidRPr="00CE0AD5">
        <w:rPr>
          <w:rFonts w:ascii="Arial" w:hAnsi="Arial" w:cs="Arial"/>
          <w:b/>
          <w:sz w:val="20"/>
          <w:szCs w:val="20"/>
        </w:rPr>
        <w:t>записи о зачислении</w:t>
      </w:r>
      <w:r w:rsidRPr="00CE0AD5">
        <w:rPr>
          <w:rFonts w:ascii="Arial" w:hAnsi="Arial" w:cs="Arial"/>
          <w:sz w:val="20"/>
          <w:szCs w:val="20"/>
        </w:rPr>
        <w:t xml:space="preserve"> ценных бумаг на соответствующий счет депо, обязан направить в Банк России уведомление о факте непредставления ему такого Заверения (Уведомления), с указанием следующей информации:</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дата зачисления ценных бумаг на счет депо;</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и ИНН депозитария (регистратора), передавшего ценные бумаги для учета прав, который не предоставил Заверение о необходимости ведения обособленного учета (Уведомление о непроведении проверки, Заверение об отсутствии оснований для ведения обособленного учета);</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(фамилия, имя, отчество (при наличии) депонента (зарегистрированного лица, эмитента, лица, обязанного по ценным бумагам), на счет депо которого были зачислены ценные бумаги;</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ISIN (регистрационный номер) зачисленных на счет депо ценных бумаг;</w:t>
      </w:r>
    </w:p>
    <w:p w:rsidR="00EB55E3" w:rsidRPr="00592A5D" w:rsidRDefault="00EB55E3" w:rsidP="00592A5D">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количество ценных бумаг, зачисленных на счет депо.</w:t>
      </w: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D6FEF" w:rsidRDefault="00ED6FEF" w:rsidP="00EE1653">
      <w:pPr>
        <w:autoSpaceDE w:val="0"/>
        <w:autoSpaceDN w:val="0"/>
        <w:adjustRightInd w:val="0"/>
        <w:spacing w:after="240"/>
        <w:jc w:val="both"/>
        <w:rPr>
          <w:rFonts w:ascii="Arial" w:hAnsi="Arial" w:cs="Arial"/>
          <w:sz w:val="20"/>
          <w:szCs w:val="20"/>
        </w:rPr>
      </w:pPr>
    </w:p>
    <w:p w:rsidR="00ED6FEF" w:rsidRDefault="00ED6FEF"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E1653" w:rsidRPr="00E47431" w:rsidRDefault="00EE1653" w:rsidP="00EE1653">
      <w:pPr>
        <w:jc w:val="both"/>
        <w:rPr>
          <w:rFonts w:ascii="Arial" w:hAnsi="Arial" w:cs="Arial"/>
          <w:sz w:val="20"/>
          <w:szCs w:val="20"/>
        </w:rPr>
      </w:pPr>
      <w:r w:rsidRPr="00E47431">
        <w:rPr>
          <w:rFonts w:ascii="Arial" w:hAnsi="Arial" w:cs="Arial"/>
          <w:sz w:val="20"/>
          <w:szCs w:val="20"/>
        </w:rPr>
        <w:t>**Решение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N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EE1653" w:rsidRPr="00E47431" w:rsidRDefault="00EE1653" w:rsidP="00EE1653">
      <w:pPr>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 [1] </w:t>
      </w:r>
      <w:r w:rsidRPr="00E47431">
        <w:rPr>
          <w:rFonts w:ascii="Arial" w:hAnsi="Arial" w:cs="Arial"/>
          <w:sz w:val="20"/>
          <w:szCs w:val="20"/>
        </w:rPr>
        <w:sym w:font="Symbol" w:char="F0B7"/>
      </w:r>
      <w:r w:rsidRPr="00E47431">
        <w:rPr>
          <w:rFonts w:ascii="Arial" w:hAnsi="Arial" w:cs="Arial"/>
          <w:sz w:val="20"/>
          <w:szCs w:val="20"/>
        </w:rPr>
        <w:t xml:space="preserve">Акции российского акционерного общества, </w:t>
      </w:r>
      <w:r w:rsidRPr="00E47431">
        <w:rPr>
          <w:rFonts w:ascii="Arial" w:hAnsi="Arial" w:cs="Arial"/>
          <w:sz w:val="20"/>
          <w:szCs w:val="20"/>
        </w:rPr>
        <w:sym w:font="Symbol" w:char="F0B7"/>
      </w:r>
      <w:r w:rsidRPr="00E47431">
        <w:rPr>
          <w:rFonts w:ascii="Arial" w:hAnsi="Arial" w:cs="Arial"/>
          <w:sz w:val="20"/>
          <w:szCs w:val="20"/>
        </w:rPr>
        <w:t xml:space="preserve">облигации федерального займа, </w:t>
      </w:r>
      <w:r w:rsidRPr="00E47431">
        <w:rPr>
          <w:rFonts w:ascii="Arial" w:hAnsi="Arial" w:cs="Arial"/>
          <w:sz w:val="20"/>
          <w:szCs w:val="20"/>
        </w:rPr>
        <w:sym w:font="Symbol" w:char="F0B7"/>
      </w:r>
      <w:r w:rsidRPr="00E47431">
        <w:rPr>
          <w:rFonts w:ascii="Arial" w:hAnsi="Arial" w:cs="Arial"/>
          <w:sz w:val="20"/>
          <w:szCs w:val="20"/>
        </w:rPr>
        <w:t xml:space="preserve">облигации российского эмитента, централизованный учет прав на которые (обязательное централизованное хранение которых) осуществляется российским депозитарием, </w:t>
      </w:r>
      <w:r w:rsidRPr="00E47431">
        <w:rPr>
          <w:rFonts w:ascii="Arial" w:hAnsi="Arial" w:cs="Arial"/>
          <w:sz w:val="20"/>
          <w:szCs w:val="20"/>
        </w:rPr>
        <w:sym w:font="Symbol" w:char="F0B7"/>
      </w:r>
      <w:r w:rsidRPr="00E47431">
        <w:rPr>
          <w:rFonts w:ascii="Arial" w:hAnsi="Arial" w:cs="Arial"/>
          <w:sz w:val="20"/>
          <w:szCs w:val="20"/>
        </w:rPr>
        <w:t>инвестиционные паи российского паевого инвестиционного фонда.</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[2] </w:t>
      </w:r>
      <w:r w:rsidRPr="00E47431">
        <w:rPr>
          <w:rFonts w:ascii="Arial" w:hAnsi="Arial" w:cs="Arial"/>
          <w:sz w:val="20"/>
          <w:szCs w:val="20"/>
        </w:rPr>
        <w:sym w:font="Symbol" w:char="F0B7"/>
      </w:r>
      <w:r w:rsidRPr="00E47431">
        <w:rPr>
          <w:rFonts w:ascii="Arial" w:hAnsi="Arial" w:cs="Arial"/>
          <w:sz w:val="20"/>
          <w:szCs w:val="20"/>
        </w:rPr>
        <w:t xml:space="preserve">Еврооблигации, </w:t>
      </w:r>
      <w:r w:rsidRPr="00E47431">
        <w:rPr>
          <w:rFonts w:ascii="Arial" w:hAnsi="Arial" w:cs="Arial"/>
          <w:sz w:val="20"/>
          <w:szCs w:val="20"/>
        </w:rPr>
        <w:sym w:font="Symbol" w:char="F0B7"/>
      </w:r>
      <w:r w:rsidRPr="00E47431">
        <w:rPr>
          <w:rFonts w:ascii="Arial" w:hAnsi="Arial" w:cs="Arial"/>
          <w:sz w:val="20"/>
          <w:szCs w:val="20"/>
        </w:rPr>
        <w:t>облигации, размещенные российскими юридическими лицами, имеющими обязательства, связанные с еврооблигациями, оплата которых при их размещении осуществлена еврооблигациями (в том числе в случае передачи (уступки) всех имущественных и иных прав по еврооблигациям российским юридическим лицам) или денежными средствами с целевым использованием привлеченных денежных средств для приобретения еврооблигаций (далее - Замещающие облигации).</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[3] Депозитарные расписки, ценные бумаги иностранных эмитентов, удостоверяющие права в отношении Акций российского акционерного общества</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[4] В случае, если с 01.03.2022 (03.03.2023) Ценные бумаги находились на учете в нескольких депозитариях/регистраторах, необходимо предоставить соответствующие выписки/отчеты из всех таких учетных систем.</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[5] Под Лицами недружественных иностранных государств понимаются 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[6] Иностранные лица, за исключением Лиц недружественных иностранных государств (в терминах Указа).</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[7] Лицо, отвечающее одновременно требованиям подпунктов «а» и «б» пункта 12 Указа Президента Российской Федерации от 05.03.2022 № 95 «О временном порядке исполнения обязательств перед некоторыми иностранными кредиторами».</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jc w:val="both"/>
        <w:rPr>
          <w:rFonts w:ascii="Arial" w:hAnsi="Arial" w:cs="Arial"/>
          <w:sz w:val="20"/>
          <w:szCs w:val="20"/>
        </w:rPr>
      </w:pPr>
      <w:r w:rsidRPr="00E47431">
        <w:rPr>
          <w:rFonts w:ascii="Arial" w:hAnsi="Arial" w:cs="Arial"/>
          <w:sz w:val="20"/>
          <w:szCs w:val="20"/>
        </w:rPr>
        <w:t>[8] Указанные документы могут не предоставляться, если контрагент является клиентом Общества и Депозитарию Общества эти документы доступны.</w:t>
      </w:r>
    </w:p>
    <w:p w:rsidR="00EE1653" w:rsidRPr="00E47431" w:rsidRDefault="00EE1653" w:rsidP="00EE1653">
      <w:pPr>
        <w:jc w:val="both"/>
        <w:rPr>
          <w:rFonts w:ascii="Arial" w:hAnsi="Arial" w:cs="Arial"/>
          <w:sz w:val="20"/>
          <w:szCs w:val="20"/>
        </w:rPr>
      </w:pPr>
    </w:p>
    <w:p w:rsidR="00EE1653" w:rsidRPr="00E47431" w:rsidRDefault="00EE1653" w:rsidP="00EE1653">
      <w:pPr>
        <w:jc w:val="both"/>
        <w:rPr>
          <w:rFonts w:ascii="Arial" w:hAnsi="Arial" w:cs="Arial"/>
          <w:sz w:val="20"/>
          <w:szCs w:val="20"/>
        </w:rPr>
      </w:pPr>
    </w:p>
    <w:p w:rsidR="00EE1653" w:rsidRPr="00E47431" w:rsidRDefault="00EE1653" w:rsidP="00EE1653">
      <w:pPr>
        <w:rPr>
          <w:rFonts w:ascii="Arial" w:hAnsi="Arial" w:cs="Arial"/>
          <w:sz w:val="20"/>
          <w:szCs w:val="20"/>
        </w:rPr>
      </w:pPr>
      <w:bookmarkStart w:id="1" w:name="Par1"/>
      <w:bookmarkEnd w:id="1"/>
      <w:r w:rsidRPr="00E47431">
        <w:rPr>
          <w:rFonts w:ascii="Arial" w:hAnsi="Arial" w:cs="Arial"/>
          <w:sz w:val="20"/>
          <w:szCs w:val="20"/>
        </w:rPr>
        <w:br w:type="page"/>
      </w:r>
    </w:p>
    <w:p w:rsidR="00EE1653" w:rsidRPr="00E47431" w:rsidRDefault="00EE1653" w:rsidP="00EE1653">
      <w:pPr>
        <w:jc w:val="both"/>
        <w:rPr>
          <w:rFonts w:ascii="Arial" w:hAnsi="Arial" w:cs="Arial"/>
          <w:sz w:val="20"/>
          <w:szCs w:val="20"/>
        </w:rPr>
      </w:pPr>
      <w:r w:rsidRPr="00E47431">
        <w:rPr>
          <w:rFonts w:ascii="Arial" w:hAnsi="Arial" w:cs="Arial"/>
          <w:sz w:val="20"/>
          <w:szCs w:val="20"/>
        </w:rPr>
        <w:t>Форма 1. Решение о прекращении обособленного учета Ценных бумаг</w:t>
      </w:r>
    </w:p>
    <w:p w:rsidR="00EE1653" w:rsidRPr="00BB45F0" w:rsidRDefault="00EE1653" w:rsidP="00EE1653">
      <w:pPr>
        <w:jc w:val="both"/>
        <w:rPr>
          <w:rFonts w:ascii="Arial" w:hAnsi="Arial" w:cs="Arial"/>
          <w:sz w:val="14"/>
          <w:szCs w:val="14"/>
        </w:rPr>
      </w:pPr>
    </w:p>
    <w:tbl>
      <w:tblPr>
        <w:tblW w:w="10206" w:type="dxa"/>
        <w:tblInd w:w="-5" w:type="dxa"/>
        <w:tblLook w:val="04A0" w:firstRow="1" w:lastRow="0" w:firstColumn="1" w:lastColumn="0" w:noHBand="0" w:noVBand="1"/>
      </w:tblPr>
      <w:tblGrid>
        <w:gridCol w:w="590"/>
        <w:gridCol w:w="544"/>
        <w:gridCol w:w="709"/>
        <w:gridCol w:w="851"/>
        <w:gridCol w:w="708"/>
        <w:gridCol w:w="851"/>
        <w:gridCol w:w="850"/>
        <w:gridCol w:w="993"/>
        <w:gridCol w:w="708"/>
        <w:gridCol w:w="851"/>
        <w:gridCol w:w="709"/>
        <w:gridCol w:w="850"/>
        <w:gridCol w:w="992"/>
      </w:tblGrid>
      <w:tr w:rsidR="00BB0E76" w:rsidRPr="00BB0E76" w:rsidTr="00A51773">
        <w:trPr>
          <w:trHeight w:val="9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Наименование отчитывающейся организации</w:t>
            </w:r>
          </w:p>
        </w:tc>
        <w:tc>
          <w:tcPr>
            <w:tcW w:w="54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ИНН отчитывающейся организации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Отчетный период[1]</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ISIN ценной бумаги</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[в случае отсутствия ISIN - рег. номер]</w:t>
            </w:r>
          </w:p>
        </w:tc>
        <w:tc>
          <w:tcPr>
            <w:tcW w:w="3402" w:type="dxa"/>
            <w:gridSpan w:val="4"/>
            <w:tcBorders>
              <w:top w:val="single" w:sz="4" w:space="0" w:color="auto"/>
              <w:left w:val="nil"/>
              <w:bottom w:val="single" w:sz="4" w:space="0" w:color="auto"/>
              <w:right w:val="single" w:sz="4" w:space="0" w:color="000000"/>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Депонент (зарегистрированное лицо), на счете депо (лицевом счете) которого учитываются ценные бумаги, в отношении которых принято решение о прекращении обособленного учета (прекращен обособленный учет)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Тип действия с обособленными ценными бумагами[5]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Количество ценных бумаг, в отношении которых принято решение о прекращении обособленного учета (прекращен обособленный учет)</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Причины принятия решения о прекращении обособленного учета (прекращения обособленного учета)</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[6]</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Описание иных причин принятия решения о прекращении обособленного учета (прекращения обособленного учета) [7]</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Дополнительная информация</w:t>
            </w:r>
          </w:p>
        </w:tc>
      </w:tr>
      <w:tr w:rsidR="00BB0E76" w:rsidRPr="00BB0E76" w:rsidTr="00A51773">
        <w:trPr>
          <w:trHeight w:val="108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544"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708"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Категория депонента (зарегистрированного лица)</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[2]</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xml:space="preserve">Наименование (ФИО) депонента (зарегистрированного лица) </w:t>
            </w:r>
          </w:p>
        </w:tc>
        <w:tc>
          <w:tcPr>
            <w:tcW w:w="850"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Идентификатор депонента (зарегистрированного лица) [3]</w:t>
            </w:r>
          </w:p>
        </w:tc>
        <w:tc>
          <w:tcPr>
            <w:tcW w:w="993"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Вид счета депо (лицевого счета)</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[4]</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r>
      <w:tr w:rsidR="00BB0E76" w:rsidRPr="00BB0E76" w:rsidTr="00A51773">
        <w:trPr>
          <w:trHeight w:val="210"/>
        </w:trPr>
        <w:tc>
          <w:tcPr>
            <w:tcW w:w="590" w:type="dxa"/>
            <w:tcBorders>
              <w:top w:val="nil"/>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w:t>
            </w:r>
          </w:p>
        </w:tc>
        <w:tc>
          <w:tcPr>
            <w:tcW w:w="544"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2</w:t>
            </w:r>
          </w:p>
        </w:tc>
        <w:tc>
          <w:tcPr>
            <w:tcW w:w="709"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3</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4</w:t>
            </w:r>
          </w:p>
        </w:tc>
        <w:tc>
          <w:tcPr>
            <w:tcW w:w="708"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5</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6</w:t>
            </w:r>
          </w:p>
        </w:tc>
        <w:tc>
          <w:tcPr>
            <w:tcW w:w="850"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7</w:t>
            </w:r>
          </w:p>
        </w:tc>
        <w:tc>
          <w:tcPr>
            <w:tcW w:w="993"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8</w:t>
            </w:r>
          </w:p>
        </w:tc>
        <w:tc>
          <w:tcPr>
            <w:tcW w:w="708"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9</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10</w:t>
            </w:r>
          </w:p>
        </w:tc>
        <w:tc>
          <w:tcPr>
            <w:tcW w:w="709"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11</w:t>
            </w:r>
          </w:p>
        </w:tc>
        <w:tc>
          <w:tcPr>
            <w:tcW w:w="850"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12</w:t>
            </w:r>
          </w:p>
        </w:tc>
        <w:tc>
          <w:tcPr>
            <w:tcW w:w="992"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13</w:t>
            </w:r>
          </w:p>
        </w:tc>
      </w:tr>
      <w:tr w:rsidR="00BB0E76" w:rsidRPr="00BB0E76" w:rsidTr="00A51773">
        <w:trPr>
          <w:trHeight w:val="255"/>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544"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r>
    </w:tbl>
    <w:p w:rsidR="00EE1653" w:rsidRPr="00BB45F0" w:rsidRDefault="00EE1653" w:rsidP="00EE1653">
      <w:pPr>
        <w:jc w:val="both"/>
        <w:rPr>
          <w:rFonts w:ascii="Arial" w:hAnsi="Arial" w:cs="Arial"/>
          <w:sz w:val="14"/>
          <w:szCs w:val="14"/>
        </w:rPr>
      </w:pPr>
    </w:p>
    <w:tbl>
      <w:tblPr>
        <w:tblW w:w="10348" w:type="dxa"/>
        <w:tblInd w:w="-142" w:type="dxa"/>
        <w:tblLayout w:type="fixed"/>
        <w:tblLook w:val="04A0" w:firstRow="1" w:lastRow="0" w:firstColumn="1" w:lastColumn="0" w:noHBand="0" w:noVBand="1"/>
      </w:tblPr>
      <w:tblGrid>
        <w:gridCol w:w="10348"/>
      </w:tblGrid>
      <w:tr w:rsidR="00EE1653" w:rsidRPr="00BB45F0" w:rsidTr="00A51773">
        <w:trPr>
          <w:trHeight w:val="1590"/>
        </w:trPr>
        <w:tc>
          <w:tcPr>
            <w:tcW w:w="10348" w:type="dxa"/>
            <w:vMerge w:val="restart"/>
            <w:tcBorders>
              <w:top w:val="nil"/>
              <w:left w:val="nil"/>
              <w:bottom w:val="nil"/>
              <w:right w:val="nil"/>
            </w:tcBorders>
            <w:shd w:val="clear" w:color="000000" w:fill="FFFFFF"/>
            <w:hideMark/>
          </w:tcPr>
          <w:p w:rsidR="00EE1653" w:rsidRPr="00BB45F0" w:rsidRDefault="00EE1653" w:rsidP="00E47431">
            <w:pPr>
              <w:rPr>
                <w:rFonts w:ascii="Times New Roman" w:eastAsia="Times New Roman" w:hAnsi="Times New Roman" w:cs="Times New Roman"/>
                <w:sz w:val="12"/>
                <w:szCs w:val="12"/>
                <w:lang w:eastAsia="ru-RU"/>
              </w:rPr>
            </w:pPr>
            <w:r w:rsidRPr="00BB45F0">
              <w:rPr>
                <w:rFonts w:ascii="Times New Roman" w:eastAsia="Times New Roman" w:hAnsi="Times New Roman" w:cs="Times New Roman"/>
                <w:sz w:val="12"/>
                <w:szCs w:val="12"/>
                <w:vertAlign w:val="superscript"/>
                <w:lang w:eastAsia="ru-RU"/>
              </w:rPr>
              <w:t>[1]</w:t>
            </w:r>
            <w:r w:rsidRPr="00BB45F0">
              <w:rPr>
                <w:rFonts w:ascii="Times New Roman" w:eastAsia="Times New Roman" w:hAnsi="Times New Roman" w:cs="Times New Roman"/>
                <w:sz w:val="12"/>
                <w:szCs w:val="12"/>
                <w:lang w:eastAsia="ru-RU"/>
              </w:rPr>
              <w:t xml:space="preserve"> Указывается дата в формате 'ДД.ММ.ГГГГ', за который предоставляется уведомление.</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[2]</w:t>
            </w:r>
            <w:r w:rsidRPr="00BB45F0">
              <w:rPr>
                <w:rFonts w:ascii="Times New Roman" w:eastAsia="Times New Roman" w:hAnsi="Times New Roman" w:cs="Times New Roman"/>
                <w:sz w:val="12"/>
                <w:szCs w:val="12"/>
                <w:lang w:eastAsia="ru-RU"/>
              </w:rPr>
              <w:t xml:space="preserve"> Указываются следующие категории:</w:t>
            </w:r>
            <w:r w:rsidRPr="00BB45F0">
              <w:rPr>
                <w:rFonts w:ascii="Times New Roman" w:eastAsia="Times New Roman" w:hAnsi="Times New Roman" w:cs="Times New Roman"/>
                <w:sz w:val="12"/>
                <w:szCs w:val="12"/>
                <w:lang w:eastAsia="ru-RU"/>
              </w:rPr>
              <w:br/>
              <w:t>ФЛН1 – физические лица-нерезиденты, зарегистрированные в странах, осуществляющих недружественные действия в отношении граждан и юридических лиц РФ,</w:t>
            </w:r>
            <w:r w:rsidRPr="00BB45F0">
              <w:rPr>
                <w:rFonts w:ascii="Times New Roman" w:eastAsia="Times New Roman" w:hAnsi="Times New Roman" w:cs="Times New Roman"/>
                <w:sz w:val="12"/>
                <w:szCs w:val="12"/>
                <w:lang w:eastAsia="ru-RU"/>
              </w:rPr>
              <w:br/>
              <w:t>ФЛН2 – физические лица-нерезиденты, зарегистрированные в иных юрисдикциях,</w:t>
            </w:r>
            <w:r w:rsidRPr="00BB45F0">
              <w:rPr>
                <w:rFonts w:ascii="Times New Roman" w:eastAsia="Times New Roman" w:hAnsi="Times New Roman" w:cs="Times New Roman"/>
                <w:sz w:val="12"/>
                <w:szCs w:val="12"/>
                <w:lang w:eastAsia="ru-RU"/>
              </w:rPr>
              <w:br/>
              <w:t>ФЛР – физические лица – резиденты,</w:t>
            </w:r>
            <w:r w:rsidRPr="00BB45F0">
              <w:rPr>
                <w:rFonts w:ascii="Times New Roman" w:eastAsia="Times New Roman" w:hAnsi="Times New Roman" w:cs="Times New Roman"/>
                <w:sz w:val="12"/>
                <w:szCs w:val="12"/>
                <w:lang w:eastAsia="ru-RU"/>
              </w:rPr>
              <w:br/>
              <w:t>ПУРЦБ – профессиональные участники рынка ценных бумаг,</w:t>
            </w:r>
            <w:r w:rsidRPr="00BB45F0">
              <w:rPr>
                <w:rFonts w:ascii="Times New Roman" w:eastAsia="Times New Roman" w:hAnsi="Times New Roman" w:cs="Times New Roman"/>
                <w:sz w:val="12"/>
                <w:szCs w:val="12"/>
                <w:lang w:eastAsia="ru-RU"/>
              </w:rPr>
              <w:br/>
              <w:t>КИК – иностранные лица, которые подконтрольны российским юридическим и физическим лицам,</w:t>
            </w:r>
            <w:r w:rsidRPr="00BB45F0">
              <w:rPr>
                <w:rFonts w:ascii="Times New Roman" w:eastAsia="Times New Roman" w:hAnsi="Times New Roman" w:cs="Times New Roman"/>
                <w:sz w:val="12"/>
                <w:szCs w:val="12"/>
                <w:lang w:eastAsia="ru-RU"/>
              </w:rPr>
              <w:br/>
              <w:t>МК – международные компании,</w:t>
            </w:r>
            <w:r w:rsidRPr="00BB45F0">
              <w:rPr>
                <w:rFonts w:ascii="Times New Roman" w:eastAsia="Times New Roman" w:hAnsi="Times New Roman" w:cs="Times New Roman"/>
                <w:sz w:val="12"/>
                <w:szCs w:val="12"/>
                <w:lang w:eastAsia="ru-RU"/>
              </w:rPr>
              <w:br/>
              <w:t>ЮЛР – юридические лица – резиденты, за исключением ПУРЦБ МК,</w:t>
            </w:r>
            <w:r w:rsidRPr="00BB45F0">
              <w:rPr>
                <w:rFonts w:ascii="Times New Roman" w:eastAsia="Times New Roman" w:hAnsi="Times New Roman" w:cs="Times New Roman"/>
                <w:sz w:val="12"/>
                <w:szCs w:val="12"/>
                <w:lang w:eastAsia="ru-RU"/>
              </w:rPr>
              <w:br/>
              <w:t>ЮЛН1 – юридические лица, зарегистрированные в странах, осуществляющих недружественные действия в отношении граждан и юридических лиц РФ, за исключением КИК,</w:t>
            </w:r>
            <w:r w:rsidRPr="00BB45F0">
              <w:rPr>
                <w:rFonts w:ascii="Times New Roman" w:eastAsia="Times New Roman" w:hAnsi="Times New Roman" w:cs="Times New Roman"/>
                <w:sz w:val="12"/>
                <w:szCs w:val="12"/>
                <w:lang w:eastAsia="ru-RU"/>
              </w:rPr>
              <w:br/>
              <w:t>ЮЛН2 – юридические лица, зарегистрированные в иных юрисдикциях, за исключением КИК.</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[3]</w:t>
            </w:r>
            <w:r w:rsidRPr="00BB45F0">
              <w:rPr>
                <w:rFonts w:ascii="Times New Roman" w:eastAsia="Times New Roman" w:hAnsi="Times New Roman" w:cs="Times New Roman"/>
                <w:sz w:val="12"/>
                <w:szCs w:val="12"/>
                <w:lang w:eastAsia="ru-RU"/>
              </w:rPr>
              <w:t xml:space="preserve"> Указывается ИНН (TIN или иной идентифицирующий номер для иностранных лиц) клиента, на счете депо которого в отчетном периоде осуществлялся обособленный учет  ценных бумаг.</w:t>
            </w:r>
            <w:r w:rsidRPr="00BB45F0">
              <w:rPr>
                <w:rFonts w:ascii="Times New Roman" w:eastAsia="Times New Roman" w:hAnsi="Times New Roman" w:cs="Times New Roman"/>
                <w:sz w:val="12"/>
                <w:szCs w:val="12"/>
                <w:lang w:eastAsia="ru-RU"/>
              </w:rPr>
              <w:br/>
              <w:t>В случае отсутствия у отчитывающегося депозитария такой информации, в графе 7 указывается прочерк и в графе 13 указывается причина отсутствия данной информации.</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[4]</w:t>
            </w:r>
            <w:r w:rsidRPr="00BB45F0">
              <w:rPr>
                <w:rFonts w:ascii="Times New Roman" w:eastAsia="Times New Roman" w:hAnsi="Times New Roman" w:cs="Times New Roman"/>
                <w:sz w:val="12"/>
                <w:szCs w:val="12"/>
                <w:lang w:eastAsia="ru-RU"/>
              </w:rPr>
              <w:t xml:space="preserve"> Указываются следующие виды счетов депо (лицевых счетов):</w:t>
            </w:r>
            <w:r w:rsidRPr="00BB45F0">
              <w:rPr>
                <w:rFonts w:ascii="Times New Roman" w:eastAsia="Times New Roman" w:hAnsi="Times New Roman" w:cs="Times New Roman"/>
                <w:sz w:val="12"/>
                <w:szCs w:val="12"/>
                <w:lang w:eastAsia="ru-RU"/>
              </w:rPr>
              <w:br/>
              <w:t>OWNER – счет депо (лицевой счет) владельцев,</w:t>
            </w:r>
            <w:r w:rsidRPr="00BB45F0">
              <w:rPr>
                <w:rFonts w:ascii="Times New Roman" w:eastAsia="Times New Roman" w:hAnsi="Times New Roman" w:cs="Times New Roman"/>
                <w:sz w:val="12"/>
                <w:szCs w:val="12"/>
                <w:lang w:eastAsia="ru-RU"/>
              </w:rPr>
              <w:br/>
              <w:t>OWNERC – счет депо владельцев типа «С»,</w:t>
            </w:r>
            <w:r w:rsidRPr="00BB45F0">
              <w:rPr>
                <w:rFonts w:ascii="Times New Roman" w:eastAsia="Times New Roman" w:hAnsi="Times New Roman" w:cs="Times New Roman"/>
                <w:sz w:val="12"/>
                <w:szCs w:val="12"/>
                <w:lang w:eastAsia="ru-RU"/>
              </w:rPr>
              <w:br/>
              <w:t>TRUSTEE – счет депо (лицевой счет) доверительного управляющего,</w:t>
            </w:r>
            <w:r w:rsidRPr="00BB45F0">
              <w:rPr>
                <w:rFonts w:ascii="Times New Roman" w:eastAsia="Times New Roman" w:hAnsi="Times New Roman" w:cs="Times New Roman"/>
                <w:sz w:val="12"/>
                <w:szCs w:val="12"/>
                <w:lang w:eastAsia="ru-RU"/>
              </w:rPr>
              <w:br/>
              <w:t>FAUTHOLDER - счет депо  (лицевой счет) иностранных уполномоченных держателей,</w:t>
            </w:r>
            <w:r w:rsidRPr="00BB45F0">
              <w:rPr>
                <w:rFonts w:ascii="Times New Roman" w:eastAsia="Times New Roman" w:hAnsi="Times New Roman" w:cs="Times New Roman"/>
                <w:sz w:val="12"/>
                <w:szCs w:val="12"/>
                <w:lang w:eastAsia="ru-RU"/>
              </w:rPr>
              <w:br/>
              <w:t>INVPS - счет депо  (лицевой счет) инвестиционного товарищества,</w:t>
            </w:r>
            <w:r w:rsidRPr="00BB45F0">
              <w:rPr>
                <w:rFonts w:ascii="Times New Roman" w:eastAsia="Times New Roman" w:hAnsi="Times New Roman" w:cs="Times New Roman"/>
                <w:sz w:val="12"/>
                <w:szCs w:val="12"/>
                <w:lang w:eastAsia="ru-RU"/>
              </w:rPr>
              <w:br/>
              <w:t>F.NOMINEEC - счет депо (лицевой счет) иностранных номинальных держателей,</w:t>
            </w:r>
            <w:r w:rsidRPr="00BB45F0">
              <w:rPr>
                <w:rFonts w:ascii="Times New Roman" w:eastAsia="Times New Roman" w:hAnsi="Times New Roman" w:cs="Times New Roman"/>
                <w:sz w:val="12"/>
                <w:szCs w:val="12"/>
                <w:lang w:eastAsia="ru-RU"/>
              </w:rPr>
              <w:br/>
              <w:t>ISSUER - казначейский счет депо (лицевой счет),</w:t>
            </w:r>
            <w:r w:rsidRPr="00BB45F0">
              <w:rPr>
                <w:rFonts w:ascii="Times New Roman" w:eastAsia="Times New Roman" w:hAnsi="Times New Roman" w:cs="Times New Roman"/>
                <w:sz w:val="12"/>
                <w:szCs w:val="12"/>
                <w:lang w:eastAsia="ru-RU"/>
              </w:rPr>
              <w:br/>
              <w:t>OTHER - иные счета.</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[5]</w:t>
            </w:r>
            <w:r w:rsidRPr="00BB45F0">
              <w:rPr>
                <w:rFonts w:ascii="Times New Roman" w:eastAsia="Times New Roman" w:hAnsi="Times New Roman" w:cs="Times New Roman"/>
                <w:sz w:val="12"/>
                <w:szCs w:val="12"/>
                <w:lang w:eastAsia="ru-RU"/>
              </w:rPr>
              <w:t xml:space="preserve"> Указываются следующие типы действий отчитывающейся организации:</w:t>
            </w:r>
            <w:r w:rsidRPr="00BB45F0">
              <w:rPr>
                <w:rFonts w:ascii="Times New Roman" w:eastAsia="Times New Roman" w:hAnsi="Times New Roman" w:cs="Times New Roman"/>
                <w:sz w:val="12"/>
                <w:szCs w:val="12"/>
                <w:lang w:eastAsia="ru-RU"/>
              </w:rPr>
              <w:br/>
              <w:t>- Решения о прекращении обособленного учета,</w:t>
            </w:r>
            <w:r w:rsidRPr="00BB45F0">
              <w:rPr>
                <w:rFonts w:ascii="Times New Roman" w:eastAsia="Times New Roman" w:hAnsi="Times New Roman" w:cs="Times New Roman"/>
                <w:sz w:val="12"/>
                <w:szCs w:val="12"/>
                <w:lang w:eastAsia="ru-RU"/>
              </w:rPr>
              <w:br/>
              <w:t>- Прекращение обособленного учета.</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[6]</w:t>
            </w:r>
            <w:r w:rsidRPr="00BB45F0">
              <w:rPr>
                <w:rFonts w:ascii="Times New Roman" w:eastAsia="Times New Roman" w:hAnsi="Times New Roman" w:cs="Times New Roman"/>
                <w:sz w:val="12"/>
                <w:szCs w:val="12"/>
                <w:lang w:eastAsia="ru-RU"/>
              </w:rPr>
              <w:t xml:space="preserve"> Указываются следующие причины принятия решения о прекращении обособленного учета (прекращения обособленного учета):</w:t>
            </w:r>
            <w:r w:rsidRPr="00BB45F0">
              <w:rPr>
                <w:rFonts w:ascii="Times New Roman" w:eastAsia="Times New Roman" w:hAnsi="Times New Roman" w:cs="Times New Roman"/>
                <w:sz w:val="12"/>
                <w:szCs w:val="12"/>
                <w:lang w:eastAsia="ru-RU"/>
              </w:rPr>
              <w:br/>
              <w:t xml:space="preserve">- Российские ценные бумаги не соответствуют признакам, указанным в п. 1 Указа № 138, и/или указанным в предписании </w:t>
            </w:r>
            <w:r w:rsidRPr="001D29E1">
              <w:rPr>
                <w:rFonts w:ascii="Times New Roman" w:eastAsia="Times New Roman" w:hAnsi="Times New Roman" w:cs="Times New Roman"/>
                <w:sz w:val="12"/>
                <w:szCs w:val="12"/>
                <w:lang w:eastAsia="ru-RU"/>
              </w:rPr>
              <w:t>Банка России,</w:t>
            </w:r>
            <w:r w:rsidRPr="00BB45F0">
              <w:rPr>
                <w:rFonts w:ascii="Times New Roman" w:eastAsia="Times New Roman" w:hAnsi="Times New Roman" w:cs="Times New Roman"/>
                <w:sz w:val="12"/>
                <w:szCs w:val="12"/>
                <w:lang w:eastAsia="ru-RU"/>
              </w:rPr>
              <w:br/>
              <w:t>- Еврооблигации (замещающие облигации)  не соответствуют признакам, указанным в п. 7(1) Указа № 138,</w:t>
            </w:r>
            <w:r w:rsidRPr="00BB45F0">
              <w:rPr>
                <w:rFonts w:ascii="Times New Roman" w:eastAsia="Times New Roman" w:hAnsi="Times New Roman" w:cs="Times New Roman"/>
                <w:sz w:val="12"/>
                <w:szCs w:val="12"/>
                <w:lang w:eastAsia="ru-RU"/>
              </w:rPr>
              <w:br/>
              <w:t>- Еврооблигации (замещающие облигации) подпадают под исключения, указанные в п. 7(2) Указа № 138,</w:t>
            </w:r>
            <w:r w:rsidRPr="00BB45F0">
              <w:rPr>
                <w:rFonts w:ascii="Times New Roman" w:eastAsia="Times New Roman" w:hAnsi="Times New Roman" w:cs="Times New Roman"/>
                <w:sz w:val="12"/>
                <w:szCs w:val="12"/>
                <w:lang w:eastAsia="ru-RU"/>
              </w:rPr>
              <w:br/>
              <w:t xml:space="preserve">- Подпадают под исключения, указанные в предписании </w:t>
            </w:r>
            <w:r w:rsidRPr="001D29E1">
              <w:rPr>
                <w:rFonts w:ascii="Times New Roman" w:eastAsia="Times New Roman" w:hAnsi="Times New Roman" w:cs="Times New Roman"/>
                <w:sz w:val="12"/>
                <w:szCs w:val="12"/>
                <w:lang w:eastAsia="ru-RU"/>
              </w:rPr>
              <w:t>Банка России</w:t>
            </w:r>
            <w:r w:rsidRPr="00BB45F0">
              <w:rPr>
                <w:rFonts w:ascii="Times New Roman" w:eastAsia="Times New Roman" w:hAnsi="Times New Roman" w:cs="Times New Roman"/>
                <w:sz w:val="12"/>
                <w:szCs w:val="12"/>
                <w:lang w:eastAsia="ru-RU"/>
              </w:rPr>
              <w:br/>
              <w:t>- Иные причины.</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[7]</w:t>
            </w:r>
            <w:r w:rsidRPr="00BB45F0">
              <w:rPr>
                <w:rFonts w:ascii="Times New Roman" w:eastAsia="Times New Roman" w:hAnsi="Times New Roman" w:cs="Times New Roman"/>
                <w:sz w:val="12"/>
                <w:szCs w:val="12"/>
                <w:lang w:eastAsia="ru-RU"/>
              </w:rPr>
              <w:t xml:space="preserve"> Графа "13" заполняется только в том случае, если в графе "12" в качестве причины указано "Иные причины".</w:t>
            </w:r>
          </w:p>
          <w:p w:rsidR="00EE1653" w:rsidRPr="00BB45F0" w:rsidRDefault="00EE1653" w:rsidP="00E47431">
            <w:pPr>
              <w:rPr>
                <w:rFonts w:ascii="Times New Roman" w:eastAsia="Times New Roman" w:hAnsi="Times New Roman" w:cs="Times New Roman"/>
                <w:sz w:val="12"/>
                <w:szCs w:val="12"/>
                <w:lang w:eastAsia="ru-RU"/>
              </w:rPr>
            </w:pPr>
          </w:p>
          <w:tbl>
            <w:tblPr>
              <w:tblW w:w="10236" w:type="dxa"/>
              <w:tblLayout w:type="fixed"/>
              <w:tblLook w:val="04A0" w:firstRow="1" w:lastRow="0" w:firstColumn="1" w:lastColumn="0" w:noHBand="0" w:noVBand="1"/>
            </w:tblPr>
            <w:tblGrid>
              <w:gridCol w:w="313"/>
              <w:gridCol w:w="614"/>
              <w:gridCol w:w="992"/>
              <w:gridCol w:w="3355"/>
              <w:gridCol w:w="567"/>
              <w:gridCol w:w="851"/>
              <w:gridCol w:w="978"/>
              <w:gridCol w:w="2566"/>
            </w:tblGrid>
            <w:tr w:rsidR="00EE1653" w:rsidRPr="00BB45F0" w:rsidTr="00A51773">
              <w:trPr>
                <w:trHeight w:val="274"/>
              </w:trPr>
              <w:tc>
                <w:tcPr>
                  <w:tcW w:w="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О</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ФЛН1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OWNER</w:t>
                  </w:r>
                </w:p>
              </w:tc>
              <w:tc>
                <w:tcPr>
                  <w:tcW w:w="3355" w:type="dxa"/>
                  <w:tcBorders>
                    <w:top w:val="single" w:sz="4" w:space="0" w:color="auto"/>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без перехода прав собственности в другой депозитарий (на лицевой счет в реестре)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TD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Зачисление</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Решения о прекращении обособленного учета</w:t>
                  </w:r>
                </w:p>
              </w:tc>
              <w:tc>
                <w:tcPr>
                  <w:tcW w:w="2566" w:type="dxa"/>
                  <w:tcBorders>
                    <w:top w:val="single" w:sz="4" w:space="0" w:color="auto"/>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Российские ценные бумаги не соответствуют признакам, указанным в п. 1 Указа № 138, и/или указанным в предписании</w:t>
                  </w:r>
                  <w:r>
                    <w:rPr>
                      <w:rFonts w:ascii="Calibri" w:eastAsia="Times New Roman" w:hAnsi="Calibri" w:cs="Calibri"/>
                      <w:sz w:val="12"/>
                      <w:szCs w:val="12"/>
                      <w:lang w:eastAsia="ru-RU"/>
                    </w:rPr>
                    <w:t xml:space="preserve"> </w:t>
                  </w:r>
                  <w:r w:rsidRPr="001D29E1">
                    <w:rPr>
                      <w:rFonts w:ascii="Times New Roman" w:eastAsia="Times New Roman" w:hAnsi="Times New Roman" w:cs="Times New Roman"/>
                      <w:sz w:val="12"/>
                      <w:szCs w:val="12"/>
                      <w:lang w:eastAsia="ru-RU"/>
                    </w:rPr>
                    <w:t>Банка России</w:t>
                  </w:r>
                </w:p>
              </w:tc>
            </w:tr>
            <w:tr w:rsidR="00EE1653" w:rsidRPr="00BB45F0" w:rsidTr="00A51773">
              <w:trPr>
                <w:trHeight w:val="240"/>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ФЛН2</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OWNERC</w:t>
                  </w:r>
                </w:p>
              </w:tc>
              <w:tc>
                <w:tcPr>
                  <w:tcW w:w="3355"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счет депо учредителя управления в другом депозитарии (на лицевой счет в реестре)</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NTD</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Прекращение обособленного учета</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Еврооблигации (замещающие облигации) не соответствуют признакам, указанным в п. 7(1) Указа № 138</w:t>
                  </w:r>
                </w:p>
              </w:tc>
            </w:tr>
            <w:tr w:rsidR="00EE1653" w:rsidRPr="00BB45F0" w:rsidTr="00A51773">
              <w:trPr>
                <w:trHeight w:val="220"/>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ФЛР</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TRUSTEE</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счет депо учредителя управления в отчитывающемся депозитарии (на лицевой счет в реестре)</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SD</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 (перевод)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Еврооблигации (замещающие облигации) подпадают под исключения, указанные в п. 7(2) Указа № 138</w:t>
                  </w:r>
                </w:p>
              </w:tc>
            </w:tr>
            <w:tr w:rsidR="00EE1653" w:rsidRPr="00BB45F0" w:rsidTr="00A51773">
              <w:trPr>
                <w:trHeight w:val="186"/>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ПУРЦБ</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FAUTHOLDER</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в соответствии с разрешениями, выданными на основании указов Президента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LS</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Зачисление (перевод)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xml:space="preserve">Подпадают под исключения, указанные в предписании </w:t>
                  </w:r>
                  <w:r>
                    <w:rPr>
                      <w:rFonts w:ascii="Calibri" w:eastAsia="Times New Roman" w:hAnsi="Calibri" w:cs="Calibri"/>
                      <w:sz w:val="12"/>
                      <w:szCs w:val="12"/>
                      <w:lang w:eastAsia="ru-RU"/>
                    </w:rPr>
                    <w:t>Общество</w:t>
                  </w:r>
                  <w:r w:rsidRPr="00BB45F0">
                    <w:rPr>
                      <w:rFonts w:ascii="Calibri" w:eastAsia="Times New Roman" w:hAnsi="Calibri" w:cs="Calibri"/>
                      <w:sz w:val="12"/>
                      <w:szCs w:val="12"/>
                      <w:lang w:eastAsia="ru-RU"/>
                    </w:rPr>
                    <w:t xml:space="preserve"> России,</w:t>
                  </w:r>
                </w:p>
              </w:tc>
            </w:tr>
            <w:tr w:rsidR="00EE1653" w:rsidRPr="00BB45F0" w:rsidTr="00A51773">
              <w:trPr>
                <w:trHeight w:val="166"/>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КИК</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INVPS</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во исполнение судебных решений</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 (НД)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Иные причины</w:t>
                  </w:r>
                </w:p>
              </w:tc>
            </w:tr>
            <w:tr w:rsidR="00EE1653" w:rsidRPr="00BB45F0" w:rsidTr="00A51773">
              <w:trPr>
                <w:trHeight w:val="274"/>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МК</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ISSUER</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в порядке универсального правопреемства</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Зачисление (НД)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383"/>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ЮЛР</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F.NOMINEE</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 при реализации ценных бумаг в соответствии с п. 6 Указа № 138 в рамках лимитов, установленных Решением Совета директоров БР</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221"/>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ЮЛН1</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OTHER</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Передача ценных бумаг КО в соответствии с п. 10 Указа № 138</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87"/>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ЮЛН2</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Конвертация, выкуп, погашение ценных бумаг их эмитентом</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308"/>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Погашение инвестиционных паев ПИФ по решению УК и (или) в связи с прекращением фонда</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239"/>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Выкуп акций ПАО в случаях, предусмотренных Федеральным законом "Об акционерных обществах"</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39"/>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Возврат ценных бумаг в качестве исполнения обязательств по договору займа ценными бумагами и обязательств по второй части договора репо</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247"/>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Реализация ценных бумаг на основных торгах в режиме РПС (кроме РПС с ЦК)</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510"/>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другой счет депо, открытый в отчитывающимся депозитарии, совершаемый при выкупе акций (ст. 84.8 Федерального закона от 26.12.1995 № 208-ФЗ)</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586"/>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другой счет депо (лицевой счет), открытый в другом депозитарии (в реестре владельцев ценных бумаг), совершаемый при выкупе акций (ст. 84.8 Федерального закона от 26.12.1995 № 208-ФЗ)</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72"/>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Ликвидация эмитента</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19"/>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xml:space="preserve">Списание ценных бумаг по иным причинам </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bl>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495"/>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375"/>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600"/>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1410"/>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390"/>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bl>
    <w:p w:rsidR="00EE1653" w:rsidRPr="00BB45F0" w:rsidRDefault="00EE1653" w:rsidP="00EE1653">
      <w:pPr>
        <w:jc w:val="both"/>
        <w:rPr>
          <w:rFonts w:ascii="Arial" w:hAnsi="Arial" w:cs="Arial"/>
          <w:sz w:val="14"/>
          <w:szCs w:val="14"/>
        </w:rPr>
      </w:pPr>
    </w:p>
    <w:p w:rsidR="00EE1653" w:rsidRPr="00BB45F0" w:rsidRDefault="00EE1653" w:rsidP="00EE1653">
      <w:pPr>
        <w:rPr>
          <w:rFonts w:ascii="Arial" w:hAnsi="Arial" w:cs="Arial"/>
          <w:sz w:val="18"/>
          <w:szCs w:val="18"/>
        </w:rPr>
      </w:pPr>
      <w:r w:rsidRPr="00BB45F0">
        <w:rPr>
          <w:rFonts w:ascii="Arial" w:hAnsi="Arial" w:cs="Arial"/>
          <w:sz w:val="18"/>
          <w:szCs w:val="18"/>
        </w:rPr>
        <w:br w:type="page"/>
      </w:r>
    </w:p>
    <w:p w:rsidR="00EE1653" w:rsidRPr="00CE0AD5" w:rsidRDefault="00EE1653" w:rsidP="00EE1653">
      <w:pPr>
        <w:rPr>
          <w:rFonts w:ascii="Arial" w:hAnsi="Arial" w:cs="Arial"/>
          <w:sz w:val="20"/>
          <w:szCs w:val="20"/>
        </w:rPr>
      </w:pPr>
      <w:r w:rsidRPr="00CE0AD5">
        <w:rPr>
          <w:rFonts w:ascii="Arial" w:hAnsi="Arial" w:cs="Arial"/>
          <w:sz w:val="20"/>
          <w:szCs w:val="20"/>
        </w:rPr>
        <w:t>Форма 2. Заверение о необходимости ведения обособленного учета</w:t>
      </w:r>
    </w:p>
    <w:p w:rsidR="00EE1653" w:rsidRPr="00CE0AD5" w:rsidRDefault="00EE1653" w:rsidP="00EE1653">
      <w:pPr>
        <w:rPr>
          <w:rFonts w:ascii="Arial" w:hAnsi="Arial" w:cs="Arial"/>
          <w:sz w:val="20"/>
          <w:szCs w:val="20"/>
        </w:rPr>
      </w:pPr>
    </w:p>
    <w:p w:rsidR="00EE1653" w:rsidRPr="00CE0AD5" w:rsidRDefault="00EE1653" w:rsidP="00EE1653">
      <w:pPr>
        <w:jc w:val="right"/>
        <w:rPr>
          <w:rFonts w:ascii="Arial" w:hAnsi="Arial" w:cs="Arial"/>
          <w:sz w:val="20"/>
          <w:szCs w:val="20"/>
        </w:rPr>
      </w:pPr>
      <w:r w:rsidRPr="00CE0AD5">
        <w:rPr>
          <w:rFonts w:ascii="Arial" w:hAnsi="Arial" w:cs="Arial"/>
          <w:sz w:val="20"/>
          <w:szCs w:val="20"/>
        </w:rPr>
        <w:t>«____» _________________ 202_</w:t>
      </w:r>
    </w:p>
    <w:p w:rsidR="00EE1653" w:rsidRDefault="00EE1653" w:rsidP="00EE1653">
      <w:pPr>
        <w:rPr>
          <w:rFonts w:ascii="Arial" w:hAnsi="Arial" w:cs="Arial"/>
          <w:sz w:val="20"/>
          <w:szCs w:val="20"/>
        </w:rPr>
      </w:pPr>
    </w:p>
    <w:p w:rsidR="00EE1653" w:rsidRPr="00CE0AD5" w:rsidRDefault="00EE1653" w:rsidP="00EE1653">
      <w:pPr>
        <w:jc w:val="both"/>
        <w:rPr>
          <w:rFonts w:ascii="Arial" w:hAnsi="Arial" w:cs="Arial"/>
          <w:sz w:val="20"/>
          <w:szCs w:val="20"/>
        </w:rPr>
      </w:pPr>
      <w:r w:rsidRPr="00CE0AD5">
        <w:rPr>
          <w:rFonts w:ascii="Arial" w:hAnsi="Arial" w:cs="Arial"/>
          <w:sz w:val="20"/>
          <w:szCs w:val="20"/>
        </w:rPr>
        <w:t xml:space="preserve">ООО «КОМПАНИЯ ТАКТ» заверяет о проведенной проверке соблюдения указанных в </w:t>
      </w:r>
      <w:hyperlink r:id="rId17" w:history="1">
        <w:r w:rsidRPr="00CE0AD5">
          <w:rPr>
            <w:rFonts w:ascii="Arial" w:hAnsi="Arial" w:cs="Arial"/>
            <w:sz w:val="20"/>
            <w:szCs w:val="20"/>
          </w:rPr>
          <w:t>пункте 1.6</w:t>
        </w:r>
      </w:hyperlink>
      <w:r w:rsidRPr="00CE0AD5">
        <w:rPr>
          <w:rFonts w:ascii="Arial" w:hAnsi="Arial" w:cs="Arial"/>
          <w:sz w:val="20"/>
          <w:szCs w:val="20"/>
        </w:rPr>
        <w:t xml:space="preserve"> Решения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 положений при проведении операции списания и обоснованности ведения обособленного учета* в отношении следующих передаваемых Российских ценных бумаг (Еврооблигаций, Замещающих облигаций):</w:t>
      </w:r>
    </w:p>
    <w:p w:rsidR="00EE1653" w:rsidRPr="00CE0AD5" w:rsidRDefault="00EE1653" w:rsidP="00EE1653">
      <w:pPr>
        <w:autoSpaceDE w:val="0"/>
        <w:autoSpaceDN w:val="0"/>
        <w:adjustRightInd w:val="0"/>
        <w:jc w:val="both"/>
        <w:rPr>
          <w:rFonts w:ascii="Arial" w:hAnsi="Arial" w:cs="Arial"/>
          <w:sz w:val="20"/>
          <w:szCs w:val="20"/>
        </w:rPr>
      </w:pPr>
    </w:p>
    <w:p w:rsidR="00EE1653" w:rsidRPr="00CE0AD5" w:rsidRDefault="00EE1653" w:rsidP="00EE1653">
      <w:pPr>
        <w:pStyle w:val="ae"/>
        <w:numPr>
          <w:ilvl w:val="0"/>
          <w:numId w:val="16"/>
        </w:numPr>
        <w:autoSpaceDE w:val="0"/>
        <w:autoSpaceDN w:val="0"/>
        <w:adjustRightInd w:val="0"/>
        <w:jc w:val="both"/>
        <w:rPr>
          <w:rFonts w:ascii="Arial" w:hAnsi="Arial" w:cs="Arial"/>
          <w:sz w:val="20"/>
          <w:szCs w:val="20"/>
        </w:rPr>
      </w:pPr>
      <w:r w:rsidRPr="00CE0AD5">
        <w:rPr>
          <w:rFonts w:ascii="Arial" w:hAnsi="Arial" w:cs="Arial"/>
          <w:sz w:val="20"/>
          <w:szCs w:val="20"/>
        </w:rPr>
        <w:t>_______________________________________________</w:t>
      </w:r>
    </w:p>
    <w:p w:rsidR="00EE1653" w:rsidRPr="00CE0AD5" w:rsidRDefault="00EE1653" w:rsidP="00EE1653">
      <w:pPr>
        <w:autoSpaceDE w:val="0"/>
        <w:autoSpaceDN w:val="0"/>
        <w:adjustRightInd w:val="0"/>
        <w:ind w:left="540"/>
        <w:jc w:val="both"/>
        <w:rPr>
          <w:rFonts w:ascii="Arial" w:hAnsi="Arial" w:cs="Arial"/>
          <w:sz w:val="20"/>
          <w:szCs w:val="20"/>
        </w:rPr>
      </w:pP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jc w:val="both"/>
        <w:rPr>
          <w:rFonts w:ascii="Arial" w:hAnsi="Arial" w:cs="Arial"/>
          <w:sz w:val="20"/>
          <w:szCs w:val="20"/>
        </w:rPr>
      </w:pPr>
      <w:r w:rsidRPr="00CE0AD5">
        <w:rPr>
          <w:rFonts w:ascii="Arial" w:hAnsi="Arial" w:cs="Arial"/>
          <w:sz w:val="20"/>
          <w:szCs w:val="20"/>
        </w:rPr>
        <w:t xml:space="preserve">Присвоенный операции УИН (уникальный идентификационный номер) операции в соответствии с требованиями </w:t>
      </w:r>
      <w:hyperlink r:id="rId18" w:history="1">
        <w:r w:rsidRPr="00CE0AD5">
          <w:rPr>
            <w:rFonts w:ascii="Arial" w:hAnsi="Arial" w:cs="Arial"/>
            <w:sz w:val="20"/>
            <w:szCs w:val="20"/>
          </w:rPr>
          <w:t>пункта 1.8</w:t>
        </w:r>
      </w:hyperlink>
      <w:r w:rsidRPr="00CE0AD5">
        <w:rPr>
          <w:rFonts w:ascii="Arial" w:hAnsi="Arial" w:cs="Arial"/>
          <w:sz w:val="20"/>
          <w:szCs w:val="20"/>
        </w:rPr>
        <w:t xml:space="preserve"> этого решения - </w:t>
      </w:r>
    </w:p>
    <w:p w:rsidR="00EE1653" w:rsidRPr="00CE0AD5" w:rsidRDefault="00EE1653" w:rsidP="00EE1653">
      <w:pPr>
        <w:autoSpaceDE w:val="0"/>
        <w:autoSpaceDN w:val="0"/>
        <w:adjustRightInd w:val="0"/>
        <w:jc w:val="both"/>
        <w:rPr>
          <w:rFonts w:ascii="Arial" w:hAnsi="Arial" w:cs="Arial"/>
          <w:sz w:val="20"/>
          <w:szCs w:val="20"/>
        </w:rPr>
      </w:pPr>
      <w:r w:rsidRPr="00CE0AD5">
        <w:rPr>
          <w:rFonts w:ascii="Arial" w:hAnsi="Arial" w:cs="Arial"/>
          <w:sz w:val="20"/>
          <w:szCs w:val="20"/>
        </w:rPr>
        <w:t xml:space="preserve">_ _ _ _ _ _ _ _ _ _ _ _ _ _ _ _ _ _ _ _ _ _ _ _ _ _ _ _ _ _ _ _ _ _ _ _ _ _ _ _ _ _ _ _ _ _ _ . </w:t>
      </w: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jc w:val="both"/>
        <w:rPr>
          <w:rFonts w:ascii="Arial" w:hAnsi="Arial" w:cs="Arial"/>
          <w:sz w:val="20"/>
          <w:szCs w:val="20"/>
        </w:rPr>
      </w:pPr>
      <w:r w:rsidRPr="00CE0AD5">
        <w:rPr>
          <w:rFonts w:ascii="Arial" w:hAnsi="Arial" w:cs="Arial"/>
          <w:sz w:val="20"/>
          <w:szCs w:val="20"/>
        </w:rPr>
        <w:t>*в том числе, когда такое заверение о необходимости ведения обособленного учета указанных ценных бумаг было получено ООО «КОМПАНИЯ ТАКТ» от другого депозитария (от регистратора)</w:t>
      </w:r>
    </w:p>
    <w:p w:rsidR="00EE1653" w:rsidRDefault="00EE1653" w:rsidP="00EE1653">
      <w:pPr>
        <w:autoSpaceDE w:val="0"/>
        <w:autoSpaceDN w:val="0"/>
        <w:adjustRightInd w:val="0"/>
        <w:spacing w:after="240"/>
        <w:jc w:val="both"/>
        <w:rPr>
          <w:rFonts w:ascii="Arial" w:hAnsi="Arial" w:cs="Arial"/>
          <w:sz w:val="20"/>
          <w:szCs w:val="20"/>
        </w:rPr>
      </w:pPr>
    </w:p>
    <w:p w:rsidR="004650F3" w:rsidRPr="00CE0AD5" w:rsidRDefault="004650F3" w:rsidP="00EE1653">
      <w:pPr>
        <w:autoSpaceDE w:val="0"/>
        <w:autoSpaceDN w:val="0"/>
        <w:adjustRightInd w:val="0"/>
        <w:spacing w:after="240"/>
        <w:jc w:val="both"/>
        <w:rPr>
          <w:rFonts w:ascii="Arial" w:hAnsi="Arial" w:cs="Arial"/>
          <w:sz w:val="20"/>
          <w:szCs w:val="20"/>
        </w:rPr>
      </w:pPr>
    </w:p>
    <w:p w:rsidR="00EE1653" w:rsidRPr="00CE0AD5" w:rsidRDefault="00EE1653" w:rsidP="00EE1653">
      <w:pPr>
        <w:autoSpaceDE w:val="0"/>
        <w:autoSpaceDN w:val="0"/>
        <w:adjustRightInd w:val="0"/>
        <w:spacing w:after="240"/>
        <w:jc w:val="both"/>
        <w:rPr>
          <w:rFonts w:ascii="Arial" w:hAnsi="Arial" w:cs="Arial"/>
          <w:sz w:val="20"/>
          <w:szCs w:val="20"/>
        </w:rPr>
      </w:pPr>
      <w:r w:rsidRPr="00CE0AD5">
        <w:rPr>
          <w:rFonts w:ascii="Arial" w:hAnsi="Arial" w:cs="Arial"/>
          <w:sz w:val="20"/>
          <w:szCs w:val="20"/>
        </w:rPr>
        <w:t>Форма 3. Уведомление о непроведении проверки</w:t>
      </w:r>
    </w:p>
    <w:p w:rsidR="00EE1653" w:rsidRPr="00CE0AD5" w:rsidRDefault="00EE1653" w:rsidP="00EE1653">
      <w:pPr>
        <w:jc w:val="right"/>
        <w:rPr>
          <w:rFonts w:ascii="Arial" w:hAnsi="Arial" w:cs="Arial"/>
          <w:sz w:val="20"/>
          <w:szCs w:val="20"/>
        </w:rPr>
      </w:pPr>
      <w:r w:rsidRPr="00CE0AD5">
        <w:rPr>
          <w:rFonts w:ascii="Arial" w:hAnsi="Arial" w:cs="Arial"/>
          <w:sz w:val="20"/>
          <w:szCs w:val="20"/>
        </w:rPr>
        <w:t>«____» _________________ 202_</w:t>
      </w:r>
    </w:p>
    <w:p w:rsidR="00EE1653" w:rsidRPr="00CE0AD5" w:rsidRDefault="00EE1653" w:rsidP="00EE1653">
      <w:pPr>
        <w:rPr>
          <w:rFonts w:ascii="Arial" w:hAnsi="Arial" w:cs="Arial"/>
          <w:sz w:val="20"/>
          <w:szCs w:val="20"/>
        </w:rPr>
      </w:pPr>
    </w:p>
    <w:p w:rsidR="00A836A2" w:rsidRPr="00CE0AD5" w:rsidRDefault="00EE1653" w:rsidP="00EE1653">
      <w:pPr>
        <w:spacing w:after="120" w:line="320" w:lineRule="atLeast"/>
        <w:jc w:val="both"/>
        <w:rPr>
          <w:rFonts w:ascii="Arial" w:hAnsi="Arial" w:cs="Arial"/>
          <w:sz w:val="20"/>
          <w:szCs w:val="20"/>
        </w:rPr>
      </w:pPr>
      <w:r w:rsidRPr="00CE0AD5">
        <w:rPr>
          <w:rFonts w:ascii="Arial" w:hAnsi="Arial" w:cs="Arial"/>
          <w:sz w:val="20"/>
          <w:szCs w:val="20"/>
        </w:rPr>
        <w:t xml:space="preserve">ООО «КОМПАНИЯ ТАКТ» уведомляет о передаче следующих Российских ценных бумаг (Еврооблигаций, Замещающих облигаций), в отношении которых ООО «КОМПАНИЯ ТАКТ» не были представлены документы, подтверждающие несоответствие передаваемых ценных бумаг установленным </w:t>
      </w:r>
      <w:hyperlink r:id="rId19" w:history="1">
        <w:r w:rsidRPr="00CE0AD5">
          <w:rPr>
            <w:rFonts w:ascii="Arial" w:hAnsi="Arial" w:cs="Arial"/>
            <w:sz w:val="20"/>
            <w:szCs w:val="20"/>
          </w:rPr>
          <w:t>Указом</w:t>
        </w:r>
      </w:hyperlink>
      <w:r w:rsidRPr="00CE0AD5">
        <w:rPr>
          <w:rFonts w:ascii="Arial" w:hAnsi="Arial" w:cs="Arial"/>
          <w:sz w:val="20"/>
          <w:szCs w:val="20"/>
        </w:rPr>
        <w:t xml:space="preserve"> Президента Российской Федерации от 3 марта 2023 года №138 «О дополнительных временных мерах экономического характера, связанных с обращением ценных бумаг» критериям:</w:t>
      </w:r>
    </w:p>
    <w:p w:rsidR="00EE1653" w:rsidRPr="00CE0AD5" w:rsidRDefault="00EE1653" w:rsidP="00EE1653">
      <w:pPr>
        <w:pStyle w:val="ae"/>
        <w:numPr>
          <w:ilvl w:val="0"/>
          <w:numId w:val="17"/>
        </w:numPr>
        <w:autoSpaceDE w:val="0"/>
        <w:autoSpaceDN w:val="0"/>
        <w:adjustRightInd w:val="0"/>
        <w:spacing w:before="180"/>
        <w:jc w:val="both"/>
        <w:rPr>
          <w:rFonts w:ascii="Arial" w:hAnsi="Arial" w:cs="Arial"/>
          <w:sz w:val="20"/>
          <w:szCs w:val="20"/>
        </w:rPr>
      </w:pPr>
    </w:p>
    <w:p w:rsidR="00EE1653" w:rsidRPr="00CE0AD5" w:rsidRDefault="00EE1653" w:rsidP="00EE1653">
      <w:pPr>
        <w:pStyle w:val="ae"/>
        <w:numPr>
          <w:ilvl w:val="0"/>
          <w:numId w:val="17"/>
        </w:numPr>
        <w:autoSpaceDE w:val="0"/>
        <w:autoSpaceDN w:val="0"/>
        <w:adjustRightInd w:val="0"/>
        <w:spacing w:before="180"/>
        <w:jc w:val="both"/>
        <w:rPr>
          <w:rFonts w:ascii="Arial" w:hAnsi="Arial" w:cs="Arial"/>
          <w:sz w:val="20"/>
          <w:szCs w:val="20"/>
        </w:rPr>
      </w:pPr>
    </w:p>
    <w:p w:rsidR="00EE1653" w:rsidRPr="00CE0AD5" w:rsidRDefault="00EE1653" w:rsidP="00EE1653">
      <w:pPr>
        <w:pStyle w:val="ae"/>
        <w:numPr>
          <w:ilvl w:val="0"/>
          <w:numId w:val="17"/>
        </w:numPr>
        <w:autoSpaceDE w:val="0"/>
        <w:autoSpaceDN w:val="0"/>
        <w:adjustRightInd w:val="0"/>
        <w:spacing w:before="180"/>
        <w:jc w:val="both"/>
        <w:rPr>
          <w:rFonts w:ascii="Arial" w:hAnsi="Arial" w:cs="Arial"/>
          <w:sz w:val="20"/>
          <w:szCs w:val="20"/>
        </w:rPr>
      </w:pPr>
      <w:r w:rsidRPr="00CE0AD5">
        <w:rPr>
          <w:rFonts w:ascii="Arial" w:hAnsi="Arial" w:cs="Arial"/>
          <w:sz w:val="20"/>
          <w:szCs w:val="20"/>
        </w:rPr>
        <w:t>__________________________________________</w:t>
      </w:r>
    </w:p>
    <w:p w:rsidR="00EE1653" w:rsidRPr="00CE0AD5" w:rsidRDefault="00EE1653" w:rsidP="00EE1653">
      <w:pPr>
        <w:spacing w:after="120" w:line="320" w:lineRule="atLeast"/>
        <w:jc w:val="both"/>
        <w:rPr>
          <w:rFonts w:ascii="Tahoma" w:hAnsi="Tahoma" w:cs="Tahoma"/>
          <w:color w:val="000000" w:themeColor="text1"/>
          <w:sz w:val="20"/>
          <w:szCs w:val="20"/>
        </w:rPr>
      </w:pPr>
    </w:p>
    <w:p w:rsidR="00EE1653" w:rsidRPr="00CE0AD5" w:rsidRDefault="00EE1653" w:rsidP="00EE1653">
      <w:pPr>
        <w:jc w:val="both"/>
        <w:rPr>
          <w:rFonts w:ascii="Arial" w:hAnsi="Arial" w:cs="Arial"/>
          <w:sz w:val="20"/>
          <w:szCs w:val="20"/>
        </w:rPr>
      </w:pPr>
      <w:r w:rsidRPr="00CE0AD5">
        <w:rPr>
          <w:rFonts w:ascii="Arial" w:hAnsi="Arial" w:cs="Arial"/>
          <w:sz w:val="20"/>
          <w:szCs w:val="20"/>
        </w:rPr>
        <w:t xml:space="preserve">Присвоенный операции УИН (уникальный идентификационный номер) операции в соответствии с требованиями </w:t>
      </w:r>
      <w:hyperlink r:id="rId20" w:history="1">
        <w:r w:rsidRPr="00CE0AD5">
          <w:rPr>
            <w:rFonts w:ascii="Arial" w:hAnsi="Arial" w:cs="Arial"/>
            <w:sz w:val="20"/>
            <w:szCs w:val="20"/>
          </w:rPr>
          <w:t>пункта 1.8</w:t>
        </w:r>
      </w:hyperlink>
      <w:r w:rsidRPr="00CE0AD5">
        <w:rPr>
          <w:rFonts w:ascii="Arial" w:hAnsi="Arial" w:cs="Arial"/>
          <w:sz w:val="20"/>
          <w:szCs w:val="20"/>
        </w:rPr>
        <w:t xml:space="preserve"> этого решения (в случае присвоения УИН операции) - </w:t>
      </w:r>
    </w:p>
    <w:p w:rsidR="00EE1653" w:rsidRPr="00CE0AD5" w:rsidRDefault="00EE1653" w:rsidP="00EE1653">
      <w:pPr>
        <w:autoSpaceDE w:val="0"/>
        <w:autoSpaceDN w:val="0"/>
        <w:adjustRightInd w:val="0"/>
        <w:spacing w:before="180"/>
        <w:jc w:val="both"/>
        <w:rPr>
          <w:rFonts w:ascii="Arial" w:hAnsi="Arial" w:cs="Arial"/>
          <w:sz w:val="20"/>
          <w:szCs w:val="20"/>
        </w:rPr>
      </w:pPr>
      <w:r w:rsidRPr="00CE0AD5">
        <w:rPr>
          <w:rFonts w:ascii="Arial" w:hAnsi="Arial" w:cs="Arial"/>
          <w:sz w:val="20"/>
          <w:szCs w:val="20"/>
        </w:rPr>
        <w:t xml:space="preserve"> _ _ _ _ _ _ _ _ _ _ _ _ _ _ _ _ _ _ _ _ _ _ _ _ _ _ _ _ _ _ _ _ _ _ _ _ _ _ _ _ _ _ _ _ _ _ _ . </w:t>
      </w: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spacing w:after="240"/>
        <w:jc w:val="both"/>
        <w:rPr>
          <w:rFonts w:ascii="Arial" w:hAnsi="Arial" w:cs="Arial"/>
          <w:sz w:val="20"/>
          <w:szCs w:val="20"/>
        </w:rPr>
      </w:pPr>
      <w:r w:rsidRPr="00CE0AD5">
        <w:rPr>
          <w:rFonts w:ascii="Arial" w:hAnsi="Arial" w:cs="Arial"/>
          <w:sz w:val="20"/>
          <w:szCs w:val="20"/>
        </w:rPr>
        <w:t>Форма 4. Заверение об отсутствии оснований для ведения обособленного учета</w:t>
      </w:r>
    </w:p>
    <w:p w:rsidR="00EE1653" w:rsidRPr="00CE0AD5" w:rsidRDefault="00EE1653" w:rsidP="00EE1653">
      <w:pPr>
        <w:jc w:val="right"/>
        <w:rPr>
          <w:rFonts w:ascii="Arial" w:hAnsi="Arial" w:cs="Arial"/>
          <w:sz w:val="20"/>
          <w:szCs w:val="20"/>
        </w:rPr>
      </w:pPr>
      <w:r w:rsidRPr="00CE0AD5">
        <w:rPr>
          <w:rFonts w:ascii="Arial" w:hAnsi="Arial" w:cs="Arial"/>
          <w:sz w:val="20"/>
          <w:szCs w:val="20"/>
        </w:rPr>
        <w:t>«____» _________________ 202_</w:t>
      </w:r>
    </w:p>
    <w:p w:rsidR="00EE1653" w:rsidRPr="00CE0AD5" w:rsidRDefault="00EE1653" w:rsidP="00EE1653">
      <w:pPr>
        <w:rPr>
          <w:rFonts w:ascii="Arial" w:hAnsi="Arial" w:cs="Arial"/>
          <w:sz w:val="20"/>
          <w:szCs w:val="20"/>
        </w:rPr>
      </w:pPr>
    </w:p>
    <w:p w:rsidR="00EE1653" w:rsidRPr="00CE0AD5" w:rsidRDefault="00EE1653" w:rsidP="00EE1653">
      <w:pPr>
        <w:autoSpaceDE w:val="0"/>
        <w:autoSpaceDN w:val="0"/>
        <w:adjustRightInd w:val="0"/>
        <w:spacing w:before="180"/>
        <w:jc w:val="both"/>
        <w:rPr>
          <w:rFonts w:ascii="Arial" w:hAnsi="Arial" w:cs="Arial"/>
          <w:sz w:val="20"/>
          <w:szCs w:val="20"/>
        </w:rPr>
      </w:pPr>
      <w:r w:rsidRPr="00CE0AD5">
        <w:rPr>
          <w:rFonts w:ascii="Arial" w:hAnsi="Arial" w:cs="Arial"/>
          <w:sz w:val="20"/>
          <w:szCs w:val="20"/>
        </w:rPr>
        <w:t>ООО «КОМПАНИЯ ТАКТ» заверяет* о проведенной проверке представленных ему документов и сведений, подтверждающих отсутствие оснований для ведения обособленного учета в отношении следующих передаваемых ценных бумаг:</w:t>
      </w:r>
    </w:p>
    <w:p w:rsidR="00EE1653" w:rsidRPr="00CE0AD5" w:rsidRDefault="00EE1653" w:rsidP="00EE1653">
      <w:pPr>
        <w:pStyle w:val="ae"/>
        <w:numPr>
          <w:ilvl w:val="0"/>
          <w:numId w:val="18"/>
        </w:numPr>
        <w:autoSpaceDE w:val="0"/>
        <w:autoSpaceDN w:val="0"/>
        <w:adjustRightInd w:val="0"/>
        <w:spacing w:before="180"/>
        <w:jc w:val="both"/>
        <w:rPr>
          <w:rFonts w:ascii="Arial" w:hAnsi="Arial" w:cs="Arial"/>
          <w:sz w:val="20"/>
          <w:szCs w:val="20"/>
        </w:rPr>
      </w:pPr>
      <w:r w:rsidRPr="00CE0AD5">
        <w:rPr>
          <w:rFonts w:ascii="Arial" w:hAnsi="Arial" w:cs="Arial"/>
          <w:sz w:val="20"/>
          <w:szCs w:val="20"/>
        </w:rPr>
        <w:t>__________________________________________</w:t>
      </w:r>
    </w:p>
    <w:p w:rsidR="00EE1653" w:rsidRPr="00CE0AD5" w:rsidRDefault="00EE1653" w:rsidP="00EE1653">
      <w:pPr>
        <w:autoSpaceDE w:val="0"/>
        <w:autoSpaceDN w:val="0"/>
        <w:adjustRightInd w:val="0"/>
        <w:spacing w:before="180"/>
        <w:jc w:val="both"/>
        <w:rPr>
          <w:rFonts w:ascii="Arial" w:hAnsi="Arial" w:cs="Arial"/>
          <w:sz w:val="20"/>
          <w:szCs w:val="20"/>
        </w:rPr>
      </w:pPr>
    </w:p>
    <w:p w:rsidR="00EE1653" w:rsidRPr="00CE0AD5" w:rsidRDefault="00EE1653" w:rsidP="00EE1653">
      <w:pPr>
        <w:autoSpaceDE w:val="0"/>
        <w:autoSpaceDN w:val="0"/>
        <w:adjustRightInd w:val="0"/>
        <w:spacing w:before="180"/>
        <w:jc w:val="both"/>
        <w:rPr>
          <w:rFonts w:ascii="Arial" w:hAnsi="Arial" w:cs="Arial"/>
          <w:sz w:val="20"/>
          <w:szCs w:val="20"/>
        </w:rPr>
      </w:pPr>
      <w:r w:rsidRPr="00CE0AD5">
        <w:rPr>
          <w:rFonts w:ascii="Arial" w:hAnsi="Arial" w:cs="Arial"/>
          <w:sz w:val="20"/>
          <w:szCs w:val="20"/>
        </w:rPr>
        <w:t>*в том числе, когда такое заверение об отсутствии оснований для ведения обособленного учета указанных ценных бумаг было получено ООО «КОМПАНИЯ ТАКТ» от другого депозитария (от регистратора)</w:t>
      </w:r>
    </w:p>
    <w:p w:rsidR="00A836A2" w:rsidRPr="00A836A2" w:rsidRDefault="00A836A2" w:rsidP="00A836A2">
      <w:pPr>
        <w:rPr>
          <w:rFonts w:ascii="Tahoma" w:hAnsi="Tahoma" w:cs="Tahoma"/>
        </w:rPr>
      </w:pPr>
    </w:p>
    <w:sectPr w:rsidR="00A836A2" w:rsidRPr="00A836A2" w:rsidSect="00EE1653">
      <w:footerReference w:type="even" r:id="rId21"/>
      <w:footerReference w:type="default" r:id="rId2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CF" w:rsidRDefault="006E59CF" w:rsidP="00F944DA">
      <w:r>
        <w:separator/>
      </w:r>
    </w:p>
  </w:endnote>
  <w:endnote w:type="continuationSeparator" w:id="0">
    <w:p w:rsidR="006E59CF" w:rsidRDefault="006E59CF" w:rsidP="00F9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altName w:val="Times New Roman"/>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CF" w:rsidRDefault="006E59CF"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59CF" w:rsidRDefault="006E59CF" w:rsidP="00F944D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CF" w:rsidRDefault="006E59CF"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5A33">
      <w:rPr>
        <w:rStyle w:val="a5"/>
        <w:noProof/>
      </w:rPr>
      <w:t>1</w:t>
    </w:r>
    <w:r>
      <w:rPr>
        <w:rStyle w:val="a5"/>
      </w:rPr>
      <w:fldChar w:fldCharType="end"/>
    </w:r>
    <w:r>
      <w:rPr>
        <w:rStyle w:val="a5"/>
      </w:rPr>
      <w:t>(</w:t>
    </w:r>
    <w:r>
      <w:rPr>
        <w:rStyle w:val="a5"/>
      </w:rPr>
      <w:fldChar w:fldCharType="begin"/>
    </w:r>
    <w:r>
      <w:rPr>
        <w:rStyle w:val="a5"/>
      </w:rPr>
      <w:instrText xml:space="preserve"> </w:instrText>
    </w:r>
    <w:r>
      <w:rPr>
        <w:rStyle w:val="a5"/>
        <w:rFonts w:hint="eastAsia"/>
      </w:rPr>
      <w:instrText>NUMPAGES   \* MERGEFORMAT</w:instrText>
    </w:r>
    <w:r>
      <w:rPr>
        <w:rStyle w:val="a5"/>
      </w:rPr>
      <w:instrText xml:space="preserve"> </w:instrText>
    </w:r>
    <w:r>
      <w:rPr>
        <w:rStyle w:val="a5"/>
      </w:rPr>
      <w:fldChar w:fldCharType="separate"/>
    </w:r>
    <w:r w:rsidR="00525A33">
      <w:rPr>
        <w:rStyle w:val="a5"/>
        <w:noProof/>
      </w:rPr>
      <w:t>3</w:t>
    </w:r>
    <w:r>
      <w:rPr>
        <w:rStyle w:val="a5"/>
      </w:rPr>
      <w:fldChar w:fldCharType="end"/>
    </w:r>
    <w:r>
      <w:rPr>
        <w:rStyle w:val="a5"/>
      </w:rPr>
      <w:t>)</w:t>
    </w:r>
  </w:p>
  <w:p w:rsidR="006E59CF" w:rsidRDefault="006E59CF" w:rsidP="00F944D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CF" w:rsidRDefault="006E59CF" w:rsidP="00F944DA">
      <w:r>
        <w:separator/>
      </w:r>
    </w:p>
  </w:footnote>
  <w:footnote w:type="continuationSeparator" w:id="0">
    <w:p w:rsidR="006E59CF" w:rsidRDefault="006E59CF" w:rsidP="00F944DA">
      <w:r>
        <w:continuationSeparator/>
      </w:r>
    </w:p>
  </w:footnote>
  <w:footnote w:id="1">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(Пункт 1 Указа) «1. Установить, что сделки (операции) с акциями российского акционерного общества, облигациями федерального займа, облигациями российского эмитента, централизованный учет прав на которые (обязательное централизованное хранение которых) осуществляется российским депозитарием, с инвестиционными паями российского паевого инвестиционного фонда, </w:t>
      </w:r>
      <w:r w:rsidRPr="00E47431">
        <w:rPr>
          <w:rFonts w:ascii="Arial" w:hAnsi="Arial" w:cs="Arial"/>
          <w:b/>
          <w:sz w:val="16"/>
          <w:szCs w:val="16"/>
        </w:rPr>
        <w:t>влекущие за собой переход права собственности</w:t>
      </w:r>
      <w:r w:rsidRPr="00E47431">
        <w:rPr>
          <w:rFonts w:ascii="Arial" w:hAnsi="Arial" w:cs="Arial"/>
          <w:sz w:val="16"/>
          <w:szCs w:val="16"/>
        </w:rPr>
        <w:t xml:space="preserve"> на эти ценные бумаги, их передачу в доверительное управление или залог, совершаются в порядке, определенном настоящим Указом, в случае если такие ценные бумаги либо ценные бумаги иностранных эмитентов, удостоверяющие права в отношении акций российского акционерного общества, приобретены </w:t>
      </w:r>
      <w:r w:rsidRPr="00E47431">
        <w:rPr>
          <w:rFonts w:ascii="Arial" w:hAnsi="Arial" w:cs="Arial"/>
          <w:b/>
          <w:sz w:val="16"/>
          <w:szCs w:val="16"/>
        </w:rPr>
        <w:t>после 1 марта 2022 г.</w:t>
      </w:r>
      <w:r w:rsidRPr="00E47431">
        <w:rPr>
          <w:rFonts w:ascii="Arial" w:hAnsi="Arial" w:cs="Arial"/>
          <w:sz w:val="16"/>
          <w:szCs w:val="16"/>
        </w:rPr>
        <w:t xml:space="preserve"> у лиц недружественных иностранных государств (за исключением лиц, отвечающих одновременно требованиям </w:t>
      </w:r>
      <w:hyperlink r:id="rId1"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2"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 и зачислены на открытый в российском депозитарии или реестре владельцев ценных бумаг счет депо (лицевой счет) владельца:</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а) с открытого в реестре владельцев ценных бумаг лицевого счета иностранной организации, являющейся регистратором в соответствии с ее личным законом;</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б) с открытого в российском депозитарии или реестре владельцев ценных бумаг счета депо (лицевого счета) иностранного номинального держателя;</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в) с открытого в российском депозитарии счета депо депозитарных программ;</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г) с открытого в российском депозитарии счета депо иностранного уполномоченного держателя;</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д) с открытого иностранной организации в российском депозитарии или реестре владельцев ценных бумаг счета депо (лицевого счета) владельца (счета депо иностранного уполномоченного держателя), - в отношении ценных бумаг, владение которыми или любые юридические и фактические действия с которыми осуществляются иностранной организацией в интересах иного лица на основании заключенного (в том числе по иностранному праву) между ними договора.»</w:t>
      </w:r>
    </w:p>
  </w:footnote>
  <w:footnote w:id="2">
    <w:p w:rsidR="006E59CF" w:rsidRDefault="006E59CF" w:rsidP="00EE1653">
      <w:pPr>
        <w:pStyle w:val="afb"/>
        <w:jc w:val="both"/>
      </w:pPr>
      <w:r w:rsidRPr="00E47431">
        <w:rPr>
          <w:rStyle w:val="afd"/>
          <w:rFonts w:ascii="Arial" w:hAnsi="Arial" w:cs="Arial"/>
          <w:sz w:val="16"/>
          <w:szCs w:val="16"/>
        </w:rPr>
        <w:footnoteRef/>
      </w:r>
      <w:r w:rsidRPr="00E47431">
        <w:rPr>
          <w:rFonts w:ascii="Arial" w:hAnsi="Arial" w:cs="Arial"/>
          <w:sz w:val="16"/>
          <w:szCs w:val="16"/>
        </w:rPr>
        <w:t xml:space="preserve"> (Пункт 7(1) Указа) «7(1). Депозитариям обеспечивать обособленный учет еврооблигаций, замещающих облигаций, если после 3 марта 2023 г.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w:t>
      </w:r>
      <w:hyperlink r:id="rId3"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4"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w:t>
      </w:r>
    </w:p>
  </w:footnote>
  <w:footnote w:id="3">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(Пункт 2 Указа) 2. На основании разрешений, выдаваемых Центральным банком Российской Федерации или Правительственной комиссией по контролю за осуществлением иностранных инвестиций в Российской Федерации и при необходимости содержащих условия сделок (операций), совершаются:</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а) сделки (операции) по передаче резидентам, а также нерезидентам, отвечающим одновременно требованиям </w:t>
      </w:r>
      <w:hyperlink r:id="rId5"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6"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 нерезидентам,</w:t>
      </w:r>
      <w:r w:rsidRPr="00BB45F0">
        <w:rPr>
          <w:rFonts w:ascii="Arial" w:hAnsi="Arial" w:cs="Arial"/>
          <w:sz w:val="14"/>
          <w:szCs w:val="14"/>
        </w:rPr>
        <w:t xml:space="preserve"> </w:t>
      </w:r>
      <w:r w:rsidRPr="00E47431">
        <w:rPr>
          <w:rFonts w:ascii="Arial" w:hAnsi="Arial" w:cs="Arial"/>
          <w:sz w:val="16"/>
          <w:szCs w:val="16"/>
        </w:rPr>
        <w:t xml:space="preserve">не являющимся лицами недружественных иностранных государств, приобретенных и зачисленных в соответствии с </w:t>
      </w:r>
      <w:hyperlink r:id="rId7" w:history="1">
        <w:r w:rsidRPr="00E47431">
          <w:rPr>
            <w:rFonts w:ascii="Arial" w:hAnsi="Arial" w:cs="Arial"/>
            <w:sz w:val="16"/>
            <w:szCs w:val="16"/>
          </w:rPr>
          <w:t>пунктом 1</w:t>
        </w:r>
      </w:hyperlink>
      <w:r w:rsidRPr="00E47431">
        <w:rPr>
          <w:rFonts w:ascii="Arial" w:hAnsi="Arial" w:cs="Arial"/>
          <w:sz w:val="16"/>
          <w:szCs w:val="16"/>
        </w:rPr>
        <w:t xml:space="preserve"> настоящего Указа акций российского акционерного общества, облигаций федерального займа, облигаций российского эмитента, централизованный учет прав на которые (обязательное централизованное хранение которых) осуществляется российским депозитарием, инвестиционных паев российского паевого инвестиционного фонда (далее также - российские ценные бумаги), в том числе приобретенных (полученных) на основании договора, заключенного до 1 марта 2022 г. включительно;</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 xml:space="preserve">б) сделки (операции) по передаче после 1 марта 2022 г. резидентам, а также нерезидентам, отвечающим одновременно требованиям </w:t>
      </w:r>
      <w:hyperlink r:id="rId8"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9"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 нерезидентам, не являющимся лицами недружественных иностранных государств, акций российских эмитентов, полученных в результате погашения ценных бумаг иностранных эмитентов, удостоверяющих права в отношении таких акций (при условии, что ценные бумаги иностранных эмитентов, удостоверяющие права в отношении таких акций, получены в результате прекращения (исполнения) обязательств по иностранному финансовому инструменту, приобретенному до 1 марта 2022 г. включительно);</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 xml:space="preserve">в) сделки (операции) с подлежащими обособленному учету в соответствии с </w:t>
      </w:r>
      <w:hyperlink r:id="rId10" w:history="1">
        <w:r w:rsidRPr="00E47431">
          <w:rPr>
            <w:rFonts w:ascii="Arial" w:hAnsi="Arial" w:cs="Arial"/>
            <w:sz w:val="16"/>
            <w:szCs w:val="16"/>
          </w:rPr>
          <w:t>пунктом 7(1)</w:t>
        </w:r>
      </w:hyperlink>
      <w:r w:rsidRPr="00E47431">
        <w:rPr>
          <w:rFonts w:ascii="Arial" w:hAnsi="Arial" w:cs="Arial"/>
          <w:sz w:val="16"/>
          <w:szCs w:val="16"/>
        </w:rPr>
        <w:t xml:space="preserve"> настоящего Указа еврооблигациями, облигациями, размещенными российскими юридическими лицами, имеющими обязательства, связанные с еврооблигациями, оплата которых при их размещении осуществлена еврооблигациями (в том числе в случае передачи (уступки) всех имущественных и иных прав по еврооблигациям российским юридическим лицам) или денежными средствами с целевым использованием привлеченных денежных средств для приобретения еврооблигаций (далее - замещающие облигации), при условии, что такие сделки (операции) влекут за собой переход права собственности на эти ценные бумаги, их передачу в доверительное управление или залог.</w:t>
      </w:r>
    </w:p>
  </w:footnote>
  <w:footnote w:id="4">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7(2). Требования </w:t>
      </w:r>
      <w:hyperlink r:id="rId11" w:history="1">
        <w:r w:rsidRPr="00E47431">
          <w:rPr>
            <w:rFonts w:ascii="Arial" w:hAnsi="Arial" w:cs="Arial"/>
            <w:sz w:val="16"/>
            <w:szCs w:val="16"/>
          </w:rPr>
          <w:t>пункта 7(1)</w:t>
        </w:r>
      </w:hyperlink>
      <w:r w:rsidRPr="00E47431">
        <w:rPr>
          <w:rFonts w:ascii="Arial" w:hAnsi="Arial" w:cs="Arial"/>
          <w:sz w:val="16"/>
          <w:szCs w:val="16"/>
        </w:rPr>
        <w:t xml:space="preserve"> настоящего Указа не распространяются:</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а) на еврооблигации, замещающие облигации, сделки (операции) с которыми совершены на основании разрешений, предусмотренных </w:t>
      </w:r>
      <w:hyperlink r:id="rId12" w:history="1">
        <w:r w:rsidRPr="00E47431">
          <w:rPr>
            <w:rFonts w:ascii="Arial" w:hAnsi="Arial" w:cs="Arial"/>
            <w:sz w:val="16"/>
            <w:szCs w:val="16"/>
          </w:rPr>
          <w:t>пунктом 2</w:t>
        </w:r>
      </w:hyperlink>
      <w:r w:rsidRPr="00E47431">
        <w:rPr>
          <w:rFonts w:ascii="Arial" w:hAnsi="Arial" w:cs="Arial"/>
          <w:sz w:val="16"/>
          <w:szCs w:val="16"/>
        </w:rPr>
        <w:t xml:space="preserve"> настоящего Указа либо </w:t>
      </w:r>
      <w:hyperlink r:id="rId13" w:history="1">
        <w:r w:rsidRPr="00E47431">
          <w:rPr>
            <w:rFonts w:ascii="Arial" w:hAnsi="Arial" w:cs="Arial"/>
            <w:sz w:val="16"/>
            <w:szCs w:val="16"/>
          </w:rPr>
          <w:t>подпунктом "б"</w:t>
        </w:r>
      </w:hyperlink>
      <w:r w:rsidRPr="00E47431">
        <w:rPr>
          <w:rFonts w:ascii="Arial" w:hAnsi="Arial" w:cs="Arial"/>
          <w:sz w:val="16"/>
          <w:szCs w:val="16"/>
        </w:rPr>
        <w:t xml:space="preserve"> или </w:t>
      </w:r>
      <w:hyperlink r:id="rId14" w:history="1">
        <w:r w:rsidRPr="00E47431">
          <w:rPr>
            <w:rFonts w:ascii="Arial" w:hAnsi="Arial" w:cs="Arial"/>
            <w:sz w:val="16"/>
            <w:szCs w:val="16"/>
          </w:rPr>
          <w:t>"г" пункта 1</w:t>
        </w:r>
      </w:hyperlink>
      <w:r w:rsidRPr="00E47431">
        <w:rPr>
          <w:rFonts w:ascii="Arial" w:hAnsi="Arial" w:cs="Arial"/>
          <w:sz w:val="16"/>
          <w:szCs w:val="16"/>
        </w:rPr>
        <w:t xml:space="preserve"> Указа Президента Российской Федерации от 1 марта 2022 г. N 81 "О дополнительных временных мерах экономического характера по обеспечению финансовой стабильности Российской Федерации";</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 xml:space="preserve">б) на еврооблигации, замещающие облигации, приобретенные в соответствии с подпунктом "а" или "б" пункта 8(1) </w:t>
      </w:r>
      <w:hyperlink r:id="rId15" w:history="1">
        <w:r w:rsidRPr="00E47431">
          <w:rPr>
            <w:rFonts w:ascii="Arial" w:hAnsi="Arial" w:cs="Arial"/>
            <w:sz w:val="16"/>
            <w:szCs w:val="16"/>
          </w:rPr>
          <w:t>Указа</w:t>
        </w:r>
      </w:hyperlink>
      <w:r w:rsidRPr="00E47431">
        <w:rPr>
          <w:rFonts w:ascii="Arial" w:hAnsi="Arial" w:cs="Arial"/>
          <w:sz w:val="16"/>
          <w:szCs w:val="16"/>
        </w:rPr>
        <w:t xml:space="preserve"> Президента Российской Федерации от 5 марта 2022 г. N 95 "О временном порядке исполнения обязательств перед некоторыми иностранными кредиторами"</w:t>
      </w:r>
    </w:p>
  </w:footnote>
  <w:footnote w:id="5">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8. Требования настоящего Указа не распространяются на сделки (операции):</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а) совершаемые с акциями российских акционерных обществ, приобретенными (полученными) в результате конвертации (погашения) ценных бумаг иностранных эмитентов, удостоверяющих права в отношении таких акций, при условии, что эти ценные бумаги поступили во владение лица до 1 марта 2022 г. включительно;</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б) совершаемые при конвертации, выкупе, погашении российских ценных бумаг их эмитентом;</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в) совершаемые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w:t>
      </w:r>
      <w:hyperlink r:id="rId16" w:history="1">
        <w:r w:rsidRPr="00E47431">
          <w:rPr>
            <w:rFonts w:ascii="Arial" w:hAnsi="Arial" w:cs="Arial"/>
            <w:sz w:val="16"/>
            <w:szCs w:val="16"/>
          </w:rPr>
          <w:t>законом</w:t>
        </w:r>
      </w:hyperlink>
      <w:r w:rsidRPr="00E47431">
        <w:rPr>
          <w:rFonts w:ascii="Arial" w:hAnsi="Arial" w:cs="Arial"/>
          <w:sz w:val="16"/>
          <w:szCs w:val="16"/>
        </w:rPr>
        <w:t xml:space="preserve"> от 26 декабря 1995 г. N 208-ФЗ "Об акционерных обществах";</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г) связанные с погашением инвестиционных паев паевого инвестиционного фонда по решению управляющей компании и (или) в связи с прекращением фонда;</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д) связанные с возвратом российских ценных бумаг в качестве исполнения обязательств по договору займа ценными бумагами, заключенному до 1 марта 2022 г. включительно, и обязательств по второй части договора репо, заключенного до 1 марта 2022 г. включительно;</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е) совершаемые в соответствии со </w:t>
      </w:r>
      <w:hyperlink r:id="rId17" w:history="1">
        <w:r w:rsidRPr="00E47431">
          <w:rPr>
            <w:rFonts w:ascii="Arial" w:hAnsi="Arial" w:cs="Arial"/>
            <w:sz w:val="16"/>
            <w:szCs w:val="16"/>
          </w:rPr>
          <w:t>статьями 5.3</w:t>
        </w:r>
      </w:hyperlink>
      <w:r w:rsidRPr="00E47431">
        <w:rPr>
          <w:rFonts w:ascii="Arial" w:hAnsi="Arial" w:cs="Arial"/>
          <w:sz w:val="16"/>
          <w:szCs w:val="16"/>
        </w:rPr>
        <w:t xml:space="preserve"> и </w:t>
      </w:r>
      <w:hyperlink r:id="rId18" w:history="1">
        <w:r w:rsidRPr="00E47431">
          <w:rPr>
            <w:rFonts w:ascii="Arial" w:hAnsi="Arial" w:cs="Arial"/>
            <w:sz w:val="16"/>
            <w:szCs w:val="16"/>
          </w:rPr>
          <w:t>5.5</w:t>
        </w:r>
      </w:hyperlink>
      <w:r w:rsidRPr="00E47431">
        <w:rPr>
          <w:rFonts w:ascii="Arial" w:hAnsi="Arial" w:cs="Arial"/>
          <w:sz w:val="16"/>
          <w:szCs w:val="16"/>
        </w:rPr>
        <w:t xml:space="preserve"> Федерального закона от 14 июля 2022 г. N 319-ФЗ "О внесении изменений в отдельные законодательные акты Российской Федерации" (смена юрисдикции);</w:t>
      </w:r>
    </w:p>
    <w:p w:rsidR="006E59CF" w:rsidRDefault="006E59CF" w:rsidP="00EE1653">
      <w:pPr>
        <w:pStyle w:val="afb"/>
        <w:jc w:val="both"/>
      </w:pPr>
      <w:r w:rsidRPr="00E47431">
        <w:rPr>
          <w:rFonts w:ascii="Arial" w:hAnsi="Arial" w:cs="Arial"/>
          <w:sz w:val="16"/>
          <w:szCs w:val="16"/>
        </w:rPr>
        <w:t>ж) связанные с переводом российских ценных бумаг, полученных в результате универсального правопреемства.)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49C4"/>
    <w:multiLevelType w:val="hybridMultilevel"/>
    <w:tmpl w:val="4482B952"/>
    <w:lvl w:ilvl="0" w:tplc="523070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B6B5E8E"/>
    <w:multiLevelType w:val="hybridMultilevel"/>
    <w:tmpl w:val="0876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7C5935"/>
    <w:multiLevelType w:val="hybridMultilevel"/>
    <w:tmpl w:val="0F049012"/>
    <w:lvl w:ilvl="0" w:tplc="04190005">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705EB3"/>
    <w:multiLevelType w:val="hybridMultilevel"/>
    <w:tmpl w:val="6052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B577AB"/>
    <w:multiLevelType w:val="hybridMultilevel"/>
    <w:tmpl w:val="47248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261BC8"/>
    <w:multiLevelType w:val="hybridMultilevel"/>
    <w:tmpl w:val="0D888D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2B4B9F"/>
    <w:multiLevelType w:val="hybridMultilevel"/>
    <w:tmpl w:val="62FA7528"/>
    <w:lvl w:ilvl="0" w:tplc="D5F4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5A50200"/>
    <w:multiLevelType w:val="hybridMultilevel"/>
    <w:tmpl w:val="787A4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281806"/>
    <w:multiLevelType w:val="hybridMultilevel"/>
    <w:tmpl w:val="B784F2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D642FFA"/>
    <w:multiLevelType w:val="hybridMultilevel"/>
    <w:tmpl w:val="AA72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B33A4B"/>
    <w:multiLevelType w:val="hybridMultilevel"/>
    <w:tmpl w:val="1A0A3164"/>
    <w:lvl w:ilvl="0" w:tplc="FFFFFFFF">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42023F"/>
    <w:multiLevelType w:val="hybridMultilevel"/>
    <w:tmpl w:val="A420CC0C"/>
    <w:lvl w:ilvl="0" w:tplc="FFFFFFFF">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85753B"/>
    <w:multiLevelType w:val="hybridMultilevel"/>
    <w:tmpl w:val="3E00D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3334"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E4B70A0"/>
    <w:multiLevelType w:val="hybridMultilevel"/>
    <w:tmpl w:val="DF78B3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727D2"/>
    <w:multiLevelType w:val="hybridMultilevel"/>
    <w:tmpl w:val="2064F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3E6140"/>
    <w:multiLevelType w:val="hybridMultilevel"/>
    <w:tmpl w:val="837A5074"/>
    <w:lvl w:ilvl="0" w:tplc="3858DC56">
      <w:start w:val="1"/>
      <w:numFmt w:val="decimal"/>
      <w:lvlText w:val="15.%1."/>
      <w:lvlJc w:val="left"/>
      <w:pPr>
        <w:ind w:left="50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77E7A18"/>
    <w:multiLevelType w:val="hybridMultilevel"/>
    <w:tmpl w:val="32C28522"/>
    <w:lvl w:ilvl="0" w:tplc="ACD2A54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1"/>
  </w:num>
  <w:num w:numId="5">
    <w:abstractNumId w:val="16"/>
  </w:num>
  <w:num w:numId="6">
    <w:abstractNumId w:val="4"/>
  </w:num>
  <w:num w:numId="7">
    <w:abstractNumId w:val="12"/>
  </w:num>
  <w:num w:numId="8">
    <w:abstractNumId w:val="15"/>
  </w:num>
  <w:num w:numId="9">
    <w:abstractNumId w:val="8"/>
  </w:num>
  <w:num w:numId="10">
    <w:abstractNumId w:val="14"/>
  </w:num>
  <w:num w:numId="11">
    <w:abstractNumId w:val="5"/>
  </w:num>
  <w:num w:numId="12">
    <w:abstractNumId w:val="6"/>
  </w:num>
  <w:num w:numId="13">
    <w:abstractNumId w:val="13"/>
  </w:num>
  <w:num w:numId="14">
    <w:abstractNumId w:val="9"/>
  </w:num>
  <w:num w:numId="15">
    <w:abstractNumId w:val="17"/>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53"/>
    <w:rsid w:val="000636FC"/>
    <w:rsid w:val="000C2865"/>
    <w:rsid w:val="000F28F2"/>
    <w:rsid w:val="00157F26"/>
    <w:rsid w:val="00192255"/>
    <w:rsid w:val="002065E9"/>
    <w:rsid w:val="002109C2"/>
    <w:rsid w:val="00247358"/>
    <w:rsid w:val="002D153E"/>
    <w:rsid w:val="002F4C35"/>
    <w:rsid w:val="00360C9F"/>
    <w:rsid w:val="00366368"/>
    <w:rsid w:val="0044700A"/>
    <w:rsid w:val="004650F3"/>
    <w:rsid w:val="00467916"/>
    <w:rsid w:val="004F3AEC"/>
    <w:rsid w:val="00525A33"/>
    <w:rsid w:val="00592A5D"/>
    <w:rsid w:val="00612848"/>
    <w:rsid w:val="006B14E9"/>
    <w:rsid w:val="006E59CF"/>
    <w:rsid w:val="007D4D62"/>
    <w:rsid w:val="009446AA"/>
    <w:rsid w:val="009662EF"/>
    <w:rsid w:val="00967014"/>
    <w:rsid w:val="00971520"/>
    <w:rsid w:val="009A2769"/>
    <w:rsid w:val="00A40E88"/>
    <w:rsid w:val="00A51773"/>
    <w:rsid w:val="00A836A2"/>
    <w:rsid w:val="00A93B25"/>
    <w:rsid w:val="00B0098B"/>
    <w:rsid w:val="00B242D4"/>
    <w:rsid w:val="00B41107"/>
    <w:rsid w:val="00BA2672"/>
    <w:rsid w:val="00BB0E76"/>
    <w:rsid w:val="00C101B9"/>
    <w:rsid w:val="00C20762"/>
    <w:rsid w:val="00C81A25"/>
    <w:rsid w:val="00CE0AD5"/>
    <w:rsid w:val="00D02AED"/>
    <w:rsid w:val="00D44EE0"/>
    <w:rsid w:val="00E049F3"/>
    <w:rsid w:val="00E47431"/>
    <w:rsid w:val="00EB55E3"/>
    <w:rsid w:val="00ED6FEF"/>
    <w:rsid w:val="00EE1653"/>
    <w:rsid w:val="00F944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6CEBE36A-20CD-401E-AB6B-45DD88FE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653"/>
  </w:style>
  <w:style w:type="paragraph" w:styleId="3">
    <w:name w:val="heading 3"/>
    <w:basedOn w:val="a"/>
    <w:next w:val="a"/>
    <w:link w:val="30"/>
    <w:qFormat/>
    <w:rsid w:val="00EE1653"/>
    <w:pPr>
      <w:keepNext/>
      <w:autoSpaceDE w:val="0"/>
      <w:autoSpaceDN w:val="0"/>
      <w:spacing w:before="240" w:after="60"/>
      <w:ind w:firstLine="709"/>
      <w:outlineLvl w:val="2"/>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944DA"/>
    <w:pPr>
      <w:tabs>
        <w:tab w:val="center" w:pos="4677"/>
        <w:tab w:val="right" w:pos="9355"/>
      </w:tabs>
    </w:pPr>
  </w:style>
  <w:style w:type="character" w:customStyle="1" w:styleId="a4">
    <w:name w:val="Нижний колонтитул Знак"/>
    <w:basedOn w:val="a0"/>
    <w:link w:val="a3"/>
    <w:uiPriority w:val="99"/>
    <w:rsid w:val="00F944DA"/>
  </w:style>
  <w:style w:type="character" w:styleId="a5">
    <w:name w:val="page number"/>
    <w:basedOn w:val="a0"/>
    <w:uiPriority w:val="99"/>
    <w:semiHidden/>
    <w:unhideWhenUsed/>
    <w:rsid w:val="00F944DA"/>
  </w:style>
  <w:style w:type="character" w:styleId="a6">
    <w:name w:val="line number"/>
    <w:basedOn w:val="a0"/>
    <w:uiPriority w:val="99"/>
    <w:semiHidden/>
    <w:unhideWhenUsed/>
    <w:rsid w:val="000636FC"/>
  </w:style>
  <w:style w:type="paragraph" w:styleId="1">
    <w:name w:val="toc 1"/>
    <w:basedOn w:val="a"/>
    <w:next w:val="a"/>
    <w:autoRedefine/>
    <w:uiPriority w:val="39"/>
    <w:unhideWhenUsed/>
    <w:rsid w:val="00247358"/>
  </w:style>
  <w:style w:type="paragraph" w:styleId="2">
    <w:name w:val="toc 2"/>
    <w:basedOn w:val="a"/>
    <w:next w:val="a"/>
    <w:autoRedefine/>
    <w:uiPriority w:val="39"/>
    <w:unhideWhenUsed/>
    <w:rsid w:val="00247358"/>
    <w:pPr>
      <w:ind w:left="240"/>
    </w:pPr>
  </w:style>
  <w:style w:type="paragraph" w:styleId="31">
    <w:name w:val="toc 3"/>
    <w:basedOn w:val="a"/>
    <w:next w:val="a"/>
    <w:autoRedefine/>
    <w:uiPriority w:val="39"/>
    <w:unhideWhenUsed/>
    <w:rsid w:val="00247358"/>
    <w:pPr>
      <w:ind w:left="480"/>
    </w:pPr>
  </w:style>
  <w:style w:type="paragraph" w:styleId="4">
    <w:name w:val="toc 4"/>
    <w:basedOn w:val="a"/>
    <w:next w:val="a"/>
    <w:autoRedefine/>
    <w:uiPriority w:val="39"/>
    <w:unhideWhenUsed/>
    <w:rsid w:val="00247358"/>
    <w:pPr>
      <w:ind w:left="720"/>
    </w:pPr>
  </w:style>
  <w:style w:type="paragraph" w:styleId="5">
    <w:name w:val="toc 5"/>
    <w:basedOn w:val="a"/>
    <w:next w:val="a"/>
    <w:autoRedefine/>
    <w:uiPriority w:val="39"/>
    <w:unhideWhenUsed/>
    <w:rsid w:val="00247358"/>
    <w:pPr>
      <w:ind w:left="960"/>
    </w:pPr>
  </w:style>
  <w:style w:type="paragraph" w:styleId="6">
    <w:name w:val="toc 6"/>
    <w:basedOn w:val="a"/>
    <w:next w:val="a"/>
    <w:autoRedefine/>
    <w:uiPriority w:val="39"/>
    <w:unhideWhenUsed/>
    <w:rsid w:val="00247358"/>
    <w:pPr>
      <w:ind w:left="1200"/>
    </w:pPr>
  </w:style>
  <w:style w:type="paragraph" w:styleId="7">
    <w:name w:val="toc 7"/>
    <w:basedOn w:val="a"/>
    <w:next w:val="a"/>
    <w:autoRedefine/>
    <w:uiPriority w:val="39"/>
    <w:unhideWhenUsed/>
    <w:rsid w:val="00247358"/>
    <w:pPr>
      <w:ind w:left="1440"/>
    </w:pPr>
  </w:style>
  <w:style w:type="paragraph" w:styleId="8">
    <w:name w:val="toc 8"/>
    <w:basedOn w:val="a"/>
    <w:next w:val="a"/>
    <w:autoRedefine/>
    <w:uiPriority w:val="39"/>
    <w:unhideWhenUsed/>
    <w:rsid w:val="00247358"/>
    <w:pPr>
      <w:ind w:left="1680"/>
    </w:pPr>
  </w:style>
  <w:style w:type="paragraph" w:styleId="9">
    <w:name w:val="toc 9"/>
    <w:basedOn w:val="a"/>
    <w:next w:val="a"/>
    <w:autoRedefine/>
    <w:uiPriority w:val="39"/>
    <w:unhideWhenUsed/>
    <w:rsid w:val="00247358"/>
    <w:pPr>
      <w:ind w:left="1920"/>
    </w:pPr>
  </w:style>
  <w:style w:type="paragraph" w:styleId="a7">
    <w:name w:val="header"/>
    <w:basedOn w:val="a"/>
    <w:link w:val="a8"/>
    <w:uiPriority w:val="99"/>
    <w:unhideWhenUsed/>
    <w:rsid w:val="009662EF"/>
    <w:pPr>
      <w:tabs>
        <w:tab w:val="center" w:pos="4677"/>
        <w:tab w:val="right" w:pos="9355"/>
      </w:tabs>
    </w:pPr>
  </w:style>
  <w:style w:type="character" w:customStyle="1" w:styleId="a8">
    <w:name w:val="Верхний колонтитул Знак"/>
    <w:basedOn w:val="a0"/>
    <w:link w:val="a7"/>
    <w:uiPriority w:val="99"/>
    <w:rsid w:val="009662EF"/>
  </w:style>
  <w:style w:type="character" w:customStyle="1" w:styleId="30">
    <w:name w:val="Заголовок 3 Знак"/>
    <w:basedOn w:val="a0"/>
    <w:link w:val="3"/>
    <w:rsid w:val="00EE1653"/>
    <w:rPr>
      <w:rFonts w:ascii="Times New Roman" w:eastAsia="Times New Roman" w:hAnsi="Times New Roman" w:cs="Times New Roman"/>
      <w:sz w:val="20"/>
      <w:szCs w:val="20"/>
      <w:lang w:eastAsia="ru-RU"/>
    </w:rPr>
  </w:style>
  <w:style w:type="paragraph" w:customStyle="1" w:styleId="ConsPlusNormal">
    <w:name w:val="ConsPlusNormal"/>
    <w:rsid w:val="00EE1653"/>
    <w:pPr>
      <w:widowControl w:val="0"/>
      <w:autoSpaceDE w:val="0"/>
      <w:autoSpaceDN w:val="0"/>
    </w:pPr>
    <w:rPr>
      <w:rFonts w:ascii="Tahoma" w:eastAsiaTheme="minorEastAsia" w:hAnsi="Tahoma" w:cs="Tahoma"/>
      <w:szCs w:val="22"/>
      <w:lang w:eastAsia="ru-RU"/>
    </w:rPr>
  </w:style>
  <w:style w:type="paragraph" w:customStyle="1" w:styleId="ConsPlusTitle">
    <w:name w:val="ConsPlusTitle"/>
    <w:rsid w:val="00EE1653"/>
    <w:pPr>
      <w:widowControl w:val="0"/>
      <w:autoSpaceDE w:val="0"/>
      <w:autoSpaceDN w:val="0"/>
    </w:pPr>
    <w:rPr>
      <w:rFonts w:ascii="Tahoma" w:eastAsiaTheme="minorEastAsia" w:hAnsi="Tahoma" w:cs="Tahoma"/>
      <w:b/>
      <w:szCs w:val="22"/>
      <w:lang w:eastAsia="ru-RU"/>
    </w:rPr>
  </w:style>
  <w:style w:type="paragraph" w:customStyle="1" w:styleId="ConsPlusTitlePage">
    <w:name w:val="ConsPlusTitlePage"/>
    <w:rsid w:val="00EE1653"/>
    <w:pPr>
      <w:widowControl w:val="0"/>
      <w:autoSpaceDE w:val="0"/>
      <w:autoSpaceDN w:val="0"/>
    </w:pPr>
    <w:rPr>
      <w:rFonts w:ascii="Tahoma" w:eastAsiaTheme="minorEastAsia" w:hAnsi="Tahoma" w:cs="Tahoma"/>
      <w:sz w:val="20"/>
      <w:szCs w:val="22"/>
      <w:lang w:eastAsia="ru-RU"/>
    </w:rPr>
  </w:style>
  <w:style w:type="paragraph" w:styleId="a9">
    <w:name w:val="Balloon Text"/>
    <w:basedOn w:val="a"/>
    <w:link w:val="aa"/>
    <w:uiPriority w:val="99"/>
    <w:semiHidden/>
    <w:unhideWhenUsed/>
    <w:rsid w:val="00EE1653"/>
    <w:rPr>
      <w:rFonts w:ascii="Segoe UI" w:hAnsi="Segoe UI" w:cs="Segoe UI"/>
      <w:sz w:val="18"/>
      <w:szCs w:val="18"/>
    </w:rPr>
  </w:style>
  <w:style w:type="character" w:customStyle="1" w:styleId="aa">
    <w:name w:val="Текст выноски Знак"/>
    <w:basedOn w:val="a0"/>
    <w:link w:val="a9"/>
    <w:uiPriority w:val="99"/>
    <w:semiHidden/>
    <w:rsid w:val="00EE1653"/>
    <w:rPr>
      <w:rFonts w:ascii="Segoe UI" w:hAnsi="Segoe UI" w:cs="Segoe UI"/>
      <w:sz w:val="18"/>
      <w:szCs w:val="18"/>
    </w:rPr>
  </w:style>
  <w:style w:type="table" w:styleId="ab">
    <w:name w:val="Table Grid"/>
    <w:basedOn w:val="a1"/>
    <w:uiPriority w:val="59"/>
    <w:rsid w:val="00EE1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EE1653"/>
    <w:rPr>
      <w:rFonts w:ascii="Courier New" w:eastAsia="Times New Roman" w:hAnsi="Courier New" w:cs="Times New Roman"/>
      <w:sz w:val="20"/>
      <w:szCs w:val="20"/>
      <w:lang w:val="x-none" w:eastAsia="x-none"/>
    </w:rPr>
  </w:style>
  <w:style w:type="character" w:customStyle="1" w:styleId="ad">
    <w:name w:val="Текст Знак"/>
    <w:basedOn w:val="a0"/>
    <w:link w:val="ac"/>
    <w:rsid w:val="00EE1653"/>
    <w:rPr>
      <w:rFonts w:ascii="Courier New" w:eastAsia="Times New Roman" w:hAnsi="Courier New" w:cs="Times New Roman"/>
      <w:sz w:val="20"/>
      <w:szCs w:val="20"/>
      <w:lang w:val="x-none" w:eastAsia="x-none"/>
    </w:rPr>
  </w:style>
  <w:style w:type="paragraph" w:styleId="ae">
    <w:name w:val="List Paragraph"/>
    <w:basedOn w:val="a"/>
    <w:uiPriority w:val="34"/>
    <w:qFormat/>
    <w:rsid w:val="00EE1653"/>
    <w:pPr>
      <w:ind w:left="720"/>
      <w:contextualSpacing/>
    </w:pPr>
  </w:style>
  <w:style w:type="paragraph" w:styleId="af">
    <w:name w:val="Revision"/>
    <w:hidden/>
    <w:uiPriority w:val="99"/>
    <w:semiHidden/>
    <w:rsid w:val="00EE1653"/>
  </w:style>
  <w:style w:type="paragraph" w:styleId="af0">
    <w:name w:val="Body Text"/>
    <w:basedOn w:val="a"/>
    <w:link w:val="af1"/>
    <w:uiPriority w:val="99"/>
    <w:semiHidden/>
    <w:unhideWhenUsed/>
    <w:rsid w:val="00EE1653"/>
    <w:pPr>
      <w:spacing w:after="120"/>
    </w:pPr>
  </w:style>
  <w:style w:type="character" w:customStyle="1" w:styleId="af1">
    <w:name w:val="Основной текст Знак"/>
    <w:basedOn w:val="a0"/>
    <w:link w:val="af0"/>
    <w:uiPriority w:val="99"/>
    <w:semiHidden/>
    <w:rsid w:val="00EE1653"/>
  </w:style>
  <w:style w:type="paragraph" w:styleId="af2">
    <w:name w:val="Body Text First Indent"/>
    <w:basedOn w:val="af0"/>
    <w:link w:val="af3"/>
    <w:rsid w:val="00EE1653"/>
    <w:pPr>
      <w:autoSpaceDE w:val="0"/>
      <w:autoSpaceDN w:val="0"/>
      <w:ind w:firstLine="210"/>
    </w:pPr>
    <w:rPr>
      <w:rFonts w:ascii="Times New Roman" w:eastAsia="Times New Roman" w:hAnsi="Times New Roman" w:cs="Times New Roman"/>
      <w:sz w:val="20"/>
      <w:szCs w:val="20"/>
      <w:lang w:eastAsia="ru-RU"/>
    </w:rPr>
  </w:style>
  <w:style w:type="character" w:customStyle="1" w:styleId="af3">
    <w:name w:val="Красная строка Знак"/>
    <w:basedOn w:val="af1"/>
    <w:link w:val="af2"/>
    <w:rsid w:val="00EE1653"/>
    <w:rPr>
      <w:rFonts w:ascii="Times New Roman" w:eastAsia="Times New Roman" w:hAnsi="Times New Roman" w:cs="Times New Roman"/>
      <w:sz w:val="20"/>
      <w:szCs w:val="20"/>
      <w:lang w:eastAsia="ru-RU"/>
    </w:rPr>
  </w:style>
  <w:style w:type="paragraph" w:customStyle="1" w:styleId="Default">
    <w:name w:val="Default"/>
    <w:rsid w:val="00EE1653"/>
    <w:pPr>
      <w:autoSpaceDE w:val="0"/>
      <w:autoSpaceDN w:val="0"/>
      <w:adjustRightInd w:val="0"/>
    </w:pPr>
    <w:rPr>
      <w:rFonts w:ascii="Arial" w:eastAsia="Times New Roman" w:hAnsi="Arial" w:cs="Arial"/>
      <w:color w:val="000000"/>
      <w:lang w:eastAsia="ru-RU"/>
    </w:rPr>
  </w:style>
  <w:style w:type="character" w:styleId="af4">
    <w:name w:val="annotation reference"/>
    <w:basedOn w:val="a0"/>
    <w:uiPriority w:val="99"/>
    <w:semiHidden/>
    <w:unhideWhenUsed/>
    <w:rsid w:val="00EE1653"/>
    <w:rPr>
      <w:sz w:val="16"/>
      <w:szCs w:val="16"/>
    </w:rPr>
  </w:style>
  <w:style w:type="paragraph" w:styleId="af5">
    <w:name w:val="annotation text"/>
    <w:basedOn w:val="a"/>
    <w:link w:val="af6"/>
    <w:uiPriority w:val="99"/>
    <w:semiHidden/>
    <w:unhideWhenUsed/>
    <w:rsid w:val="00EE1653"/>
    <w:rPr>
      <w:sz w:val="20"/>
      <w:szCs w:val="20"/>
    </w:rPr>
  </w:style>
  <w:style w:type="character" w:customStyle="1" w:styleId="af6">
    <w:name w:val="Текст примечания Знак"/>
    <w:basedOn w:val="a0"/>
    <w:link w:val="af5"/>
    <w:uiPriority w:val="99"/>
    <w:semiHidden/>
    <w:rsid w:val="00EE1653"/>
    <w:rPr>
      <w:sz w:val="20"/>
      <w:szCs w:val="20"/>
    </w:rPr>
  </w:style>
  <w:style w:type="paragraph" w:styleId="af7">
    <w:name w:val="annotation subject"/>
    <w:basedOn w:val="af5"/>
    <w:next w:val="af5"/>
    <w:link w:val="af8"/>
    <w:uiPriority w:val="99"/>
    <w:semiHidden/>
    <w:unhideWhenUsed/>
    <w:rsid w:val="00EE1653"/>
    <w:rPr>
      <w:b/>
      <w:bCs/>
    </w:rPr>
  </w:style>
  <w:style w:type="character" w:customStyle="1" w:styleId="af8">
    <w:name w:val="Тема примечания Знак"/>
    <w:basedOn w:val="af6"/>
    <w:link w:val="af7"/>
    <w:uiPriority w:val="99"/>
    <w:semiHidden/>
    <w:rsid w:val="00EE1653"/>
    <w:rPr>
      <w:b/>
      <w:bCs/>
      <w:sz w:val="20"/>
      <w:szCs w:val="20"/>
    </w:rPr>
  </w:style>
  <w:style w:type="paragraph" w:styleId="af9">
    <w:name w:val="Title"/>
    <w:basedOn w:val="a"/>
    <w:link w:val="afa"/>
    <w:qFormat/>
    <w:rsid w:val="00EE1653"/>
    <w:pPr>
      <w:widowControl w:val="0"/>
      <w:jc w:val="center"/>
    </w:pPr>
    <w:rPr>
      <w:rFonts w:ascii="Times New Roman" w:eastAsia="Times New Roman" w:hAnsi="Times New Roman" w:cs="Times New Roman"/>
      <w:snapToGrid w:val="0"/>
      <w:sz w:val="32"/>
      <w:szCs w:val="20"/>
      <w:lang w:eastAsia="ru-RU"/>
    </w:rPr>
  </w:style>
  <w:style w:type="character" w:customStyle="1" w:styleId="afa">
    <w:name w:val="Название Знак"/>
    <w:basedOn w:val="a0"/>
    <w:link w:val="af9"/>
    <w:rsid w:val="00EE1653"/>
    <w:rPr>
      <w:rFonts w:ascii="Times New Roman" w:eastAsia="Times New Roman" w:hAnsi="Times New Roman" w:cs="Times New Roman"/>
      <w:snapToGrid w:val="0"/>
      <w:sz w:val="32"/>
      <w:szCs w:val="20"/>
      <w:lang w:eastAsia="ru-RU"/>
    </w:rPr>
  </w:style>
  <w:style w:type="paragraph" w:styleId="afb">
    <w:name w:val="footnote text"/>
    <w:basedOn w:val="a"/>
    <w:link w:val="afc"/>
    <w:uiPriority w:val="99"/>
    <w:semiHidden/>
    <w:unhideWhenUsed/>
    <w:rsid w:val="00EE1653"/>
    <w:rPr>
      <w:sz w:val="20"/>
      <w:szCs w:val="20"/>
    </w:rPr>
  </w:style>
  <w:style w:type="character" w:customStyle="1" w:styleId="afc">
    <w:name w:val="Текст сноски Знак"/>
    <w:basedOn w:val="a0"/>
    <w:link w:val="afb"/>
    <w:uiPriority w:val="99"/>
    <w:semiHidden/>
    <w:rsid w:val="00EE1653"/>
    <w:rPr>
      <w:sz w:val="20"/>
      <w:szCs w:val="20"/>
    </w:rPr>
  </w:style>
  <w:style w:type="character" w:styleId="afd">
    <w:name w:val="footnote reference"/>
    <w:basedOn w:val="a0"/>
    <w:uiPriority w:val="99"/>
    <w:semiHidden/>
    <w:unhideWhenUsed/>
    <w:rsid w:val="00EE1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10189">
      <w:bodyDiv w:val="1"/>
      <w:marLeft w:val="0"/>
      <w:marRight w:val="0"/>
      <w:marTop w:val="0"/>
      <w:marBottom w:val="0"/>
      <w:divBdr>
        <w:top w:val="none" w:sz="0" w:space="0" w:color="auto"/>
        <w:left w:val="none" w:sz="0" w:space="0" w:color="auto"/>
        <w:bottom w:val="none" w:sz="0" w:space="0" w:color="auto"/>
        <w:right w:val="none" w:sz="0" w:space="0" w:color="auto"/>
      </w:divBdr>
    </w:div>
    <w:div w:id="16181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E849CD74ED4F5A147ADB0D1593B83807106483E6F2E7DB8A77927C0A6FBFC44EC5552C474DD7AE54347DB448F6CCBF1EF7C4369197F180o7RCO" TargetMode="External"/><Relationship Id="rId13" Type="http://schemas.openxmlformats.org/officeDocument/2006/relationships/hyperlink" Target="consultantplus://offline/ref=FA04D3BCFCFC6D42540C5628DD10F250CA484969DDA5728C15AC0155AFE57BC809DB7CF98C5D7DE825DFF58A15AA4A466166D2AE98AB9FBCW9PAN" TargetMode="External"/><Relationship Id="rId18" Type="http://schemas.openxmlformats.org/officeDocument/2006/relationships/hyperlink" Target="consultantplus://offline/ref=42F0CD155ABF262D5F75895ADDB8B3D5C5B2C22862882B671A34C31D8E1C99663F0D4B8FE81E5C5B0476FDB9AE487AB10A67AC80C7C6C379uCo3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3BBB4DDA082392E11BA74759DAAE5F5EBEC6C19CC9D566418F5934CA64ACFFA1B75489952877D69121113BC6AD2279085BD208E543D6F75g6FDO" TargetMode="External"/><Relationship Id="rId17" Type="http://schemas.openxmlformats.org/officeDocument/2006/relationships/hyperlink" Target="consultantplus://offline/ref=42F0CD155ABF262D5F75895ADDB8B3D5C5B2C22862882B671A34C31D8E1C99663F0D4B8FE81E5C580B76FDB9AE487AB10A67AC80C7C6C379uCo3O" TargetMode="External"/><Relationship Id="rId2" Type="http://schemas.openxmlformats.org/officeDocument/2006/relationships/numbering" Target="numbering.xml"/><Relationship Id="rId16" Type="http://schemas.openxmlformats.org/officeDocument/2006/relationships/hyperlink" Target="consultantplus://offline/ref=7E07330444FB20032CEBA038594A3F80CFC9A0C0A7362EF4431DB68038D66836F1EC80CB6BD80531C94AC7667995430F15898CE9733EB326M5P9O" TargetMode="External"/><Relationship Id="rId20" Type="http://schemas.openxmlformats.org/officeDocument/2006/relationships/hyperlink" Target="consultantplus://offline/ref=42F0CD155ABF262D5F75895ADDB8B3D5C5B2C22862882B671A34C31D8E1C99663F0D4B8FE81E5C5B0476FDB9AE487AB10A67AC80C7C6C379uCo3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BBB4DDA082392E11BA74759DAAE5F5EBEC6C19CC9D566418F5934CA64ACFFA1B75489952877D69161113BC6AD2279085BD208E543D6F75g6FD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07330444FB20032CEBA038594A3F80CFC9A0C0A7362EF4431DB68038D66836F1EC80CB6BD80531C94AC7667995430F15898CE9733EB326M5P9O" TargetMode="External"/><Relationship Id="rId23" Type="http://schemas.openxmlformats.org/officeDocument/2006/relationships/fontTable" Target="fontTable.xml"/><Relationship Id="rId10" Type="http://schemas.openxmlformats.org/officeDocument/2006/relationships/hyperlink" Target="consultantplus://offline/ref=62A68E514CCFF0B93D6BDB6C2284B56AA6F010050FF940EE03FCD8667E273473DEA2C8CA92FBE4E606E31BA12F7AD1D2A86E8C012A3E2333V7o3O" TargetMode="External"/><Relationship Id="rId19" Type="http://schemas.openxmlformats.org/officeDocument/2006/relationships/hyperlink" Target="consultantplus://offline/ref=42F0CD155ABF262D5F75895ADDB8B3D5C4B8C62C6E8B2B671A34C31D8E1C99662D0D1383E91A42590C63ABE8E8u1oBO" TargetMode="External"/><Relationship Id="rId4" Type="http://schemas.openxmlformats.org/officeDocument/2006/relationships/settings" Target="settings.xml"/><Relationship Id="rId9" Type="http://schemas.openxmlformats.org/officeDocument/2006/relationships/hyperlink" Target="consultantplus://offline/ref=72E849CD74ED4F5A147ADB0D1593B83807106483E6F2E7DB8A77927C0A6FBFC44EC5552C474DD7A854347DB448F6CCBF1EF7C4369197F180o7RCO" TargetMode="External"/><Relationship Id="rId14" Type="http://schemas.openxmlformats.org/officeDocument/2006/relationships/hyperlink" Target="consultantplus://offline/ref=FA04D3BCFCFC6D42540C5628DD10F250CA484969DDA5728C15AC0155AFE57BC809DB7CF98C5D7DEA25DFF58A15AA4A466166D2AE98AB9FBCW9PA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E67A6943138852E5F0B64AAC76B7E17E933B0B156C1E3D3590D1C83361B58AD80EA66CBF093F9596254C18C6179BBF5B6DFD4901624D234BQEF1N" TargetMode="External"/><Relationship Id="rId13" Type="http://schemas.openxmlformats.org/officeDocument/2006/relationships/hyperlink" Target="consultantplus://offline/ref=1F62CB7ECFB84DB14BC9CA835BF404779CE0AF2625DA0B24AF3E053E93F702788F6D8DA3CC367425F053B8C82D2319F5CA1761B41E90C63F16F9N" TargetMode="External"/><Relationship Id="rId18" Type="http://schemas.openxmlformats.org/officeDocument/2006/relationships/hyperlink" Target="consultantplus://offline/ref=1F62CB7ECFB84DB14BC9CA835BF404779CE7AA2522D20B24AF3E053E93F702788F6D8DA6CB3D2075B50DE1986E6815F4D30B60B610F4N" TargetMode="External"/><Relationship Id="rId3" Type="http://schemas.openxmlformats.org/officeDocument/2006/relationships/hyperlink" Target="consultantplus://offline/ref=80ECE213C28B3EAB4573970D5F2ED71B094ED2B077182B54D6B2F197CB7C64CA9389AC376302A4BFD4A23CD3F02D8904A2615A12DA1FF949b7O3O" TargetMode="External"/><Relationship Id="rId7" Type="http://schemas.openxmlformats.org/officeDocument/2006/relationships/hyperlink" Target="consultantplus://offline/ref=E67A6943138852E5F0B64AAC76B7E17E933B0B156C183D3590D1C83361B58AD80EA66CBF093F9594274C18C6179BBF5B6DFD4901624D234BQEF1N" TargetMode="External"/><Relationship Id="rId12" Type="http://schemas.openxmlformats.org/officeDocument/2006/relationships/hyperlink" Target="consultantplus://offline/ref=1F62CB7ECFB84DB14BC9CA835BF404779CE9AA2727D30B24AF3E053E93F702788F6D8DA3CC367425F253B8C82D2319F5CA1761B41E90C63F16F9N" TargetMode="External"/><Relationship Id="rId17" Type="http://schemas.openxmlformats.org/officeDocument/2006/relationships/hyperlink" Target="consultantplus://offline/ref=1F62CB7ECFB84DB14BC9CA835BF404779CE7AA2522D20B24AF3E053E93F702788F6D8DA3CD3D2075B50DE1986E6815F4D30B60B610F4N" TargetMode="External"/><Relationship Id="rId2" Type="http://schemas.openxmlformats.org/officeDocument/2006/relationships/hyperlink" Target="consultantplus://offline/ref=BAB80BB853E5A8A463FE1093EA2A44AB29526C89761D8929DF4739B35BB2B5E301593FBDBD1522731063F4AED6B5158900A8708081CDB292lEOEO" TargetMode="External"/><Relationship Id="rId16" Type="http://schemas.openxmlformats.org/officeDocument/2006/relationships/hyperlink" Target="consultantplus://offline/ref=1F62CB7ECFB84DB14BC9CA835BF404779CE9AD2423D20B24AF3E053E93F702789D6DD5AFCD316A25F146EE996B17F2N" TargetMode="External"/><Relationship Id="rId1" Type="http://schemas.openxmlformats.org/officeDocument/2006/relationships/hyperlink" Target="consultantplus://offline/ref=BAB80BB853E5A8A463FE1093EA2A44AB29526C89761D8929DF4739B35BB2B5E301593FBDBD1522731363F4AED6B5158900A8708081CDB292lEOEO" TargetMode="External"/><Relationship Id="rId6" Type="http://schemas.openxmlformats.org/officeDocument/2006/relationships/hyperlink" Target="consultantplus://offline/ref=E67A6943138852E5F0B64AAC76B7E17E933B0B156C1E3D3590D1C83361B58AD80EA66CBF093F9596264C18C6179BBF5B6DFD4901624D234BQEF1N" TargetMode="External"/><Relationship Id="rId11" Type="http://schemas.openxmlformats.org/officeDocument/2006/relationships/hyperlink" Target="consultantplus://offline/ref=1F62CB7ECFB84DB14BC9CA835BF404779CE9AA2727D30B24AF3E053E93F702788F6D8DA3CC367420F253B8C82D2319F5CA1761B41E90C63F16F9N" TargetMode="External"/><Relationship Id="rId5" Type="http://schemas.openxmlformats.org/officeDocument/2006/relationships/hyperlink" Target="consultantplus://offline/ref=E67A6943138852E5F0B64AAC76B7E17E933B0B156C1E3D3590D1C83361B58AD80EA66CBF093F9596254C18C6179BBF5B6DFD4901624D234BQEF1N" TargetMode="External"/><Relationship Id="rId15" Type="http://schemas.openxmlformats.org/officeDocument/2006/relationships/hyperlink" Target="consultantplus://offline/ref=1F62CB7ECFB84DB14BC9CA835BF404779CE9AA2727D50B24AF3E053E93F702789D6DD5AFCD316A25F146EE996B17F2N" TargetMode="External"/><Relationship Id="rId10" Type="http://schemas.openxmlformats.org/officeDocument/2006/relationships/hyperlink" Target="consultantplus://offline/ref=E67A6943138852E5F0B64AAC76B7E17E933B0B156C183D3590D1C83361B58AD80EA66CBF093F9590234C18C6179BBF5B6DFD4901624D234BQEF1N" TargetMode="External"/><Relationship Id="rId4" Type="http://schemas.openxmlformats.org/officeDocument/2006/relationships/hyperlink" Target="consultantplus://offline/ref=80ECE213C28B3EAB4573970D5F2ED71B094ED2B077182B54D6B2F197CB7C64CA9389AC376302A4BFD7A23CD3F02D8904A2615A12DA1FF949b7O3O" TargetMode="External"/><Relationship Id="rId9" Type="http://schemas.openxmlformats.org/officeDocument/2006/relationships/hyperlink" Target="consultantplus://offline/ref=E67A6943138852E5F0B64AAC76B7E17E933B0B156C1E3D3590D1C83361B58AD80EA66CBF093F9596264C18C6179BBF5B6DFD4901624D234BQEF1N" TargetMode="External"/><Relationship Id="rId14" Type="http://schemas.openxmlformats.org/officeDocument/2006/relationships/hyperlink" Target="consultantplus://offline/ref=1F62CB7ECFB84DB14BC9CA835BF404779CE0AF2625DA0B24AF3E053E93F702788F6D8DA3CC367425F253B8C82D2319F5CA1761B41E90C63F16F9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D1402-50D2-4AA2-99B9-4205D5CA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5706</Words>
  <Characters>32527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Мулюкин Дмитрий Геннадьевич</dc:creator>
  <cp:keywords/>
  <dc:description/>
  <cp:lastModifiedBy>Мулюкин Дмитрий Геннадьевич</cp:lastModifiedBy>
  <cp:revision>2</cp:revision>
  <cp:lastPrinted>2026-01-27T08:39:00Z</cp:lastPrinted>
  <dcterms:created xsi:type="dcterms:W3CDTF">2026-02-09T09:56:00Z</dcterms:created>
  <dcterms:modified xsi:type="dcterms:W3CDTF">2026-02-09T09:56:00Z</dcterms:modified>
</cp:coreProperties>
</file>